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8806C" w14:textId="3B3B3D1F" w:rsidR="00B36852" w:rsidRDefault="00706B73" w:rsidP="005904CD">
      <w:pPr>
        <w:spacing w:after="0" w:line="240" w:lineRule="auto"/>
        <w:rPr>
          <w:rFonts w:cstheme="minorHAnsi"/>
        </w:rPr>
      </w:pPr>
      <w:bookmarkStart w:id="0" w:name="_GoBack"/>
      <w:r w:rsidRPr="001406A0">
        <w:rPr>
          <w:rFonts w:cstheme="minorHAnsi"/>
        </w:rPr>
        <w:t>Załącznik nr 1. Analiza dokumentów</w:t>
      </w:r>
      <w:bookmarkEnd w:id="0"/>
    </w:p>
    <w:p w14:paraId="6AA497B0" w14:textId="77777777" w:rsidR="004F5E85" w:rsidRDefault="004F5E85" w:rsidP="005904CD">
      <w:pPr>
        <w:spacing w:after="0" w:line="240" w:lineRule="auto"/>
        <w:rPr>
          <w:rFonts w:cstheme="minorHAnsi"/>
        </w:rPr>
      </w:pPr>
    </w:p>
    <w:p w14:paraId="148774CA" w14:textId="565CA538" w:rsidR="007979AE" w:rsidRPr="004F5E85" w:rsidRDefault="007979AE" w:rsidP="005904CD">
      <w:pPr>
        <w:spacing w:after="0" w:line="240" w:lineRule="auto"/>
        <w:rPr>
          <w:rFonts w:cstheme="minorHAnsi"/>
          <w:b/>
          <w:bCs/>
        </w:rPr>
      </w:pPr>
      <w:r w:rsidRPr="00362D50">
        <w:rPr>
          <w:rFonts w:cstheme="minorHAnsi"/>
          <w:b/>
          <w:bCs/>
        </w:rPr>
        <w:t>Analiza zapisów, celów dokumentów na poziomie międzynarodowym</w:t>
      </w:r>
    </w:p>
    <w:tbl>
      <w:tblPr>
        <w:tblStyle w:val="Tabela-Siatka"/>
        <w:tblW w:w="0" w:type="auto"/>
        <w:tblLook w:val="04A0" w:firstRow="1" w:lastRow="0" w:firstColumn="1" w:lastColumn="0" w:noHBand="0" w:noVBand="1"/>
        <w:tblDescription w:val="Tabela dotyczaca analizy zapisów, celów dokumentów na poziomie międzynarodowym"/>
      </w:tblPr>
      <w:tblGrid>
        <w:gridCol w:w="3211"/>
        <w:gridCol w:w="6282"/>
        <w:gridCol w:w="4501"/>
      </w:tblGrid>
      <w:tr w:rsidR="00DC00C4" w:rsidRPr="001406A0" w14:paraId="2D79E523" w14:textId="77777777" w:rsidTr="00CC489F">
        <w:trPr>
          <w:tblHeader/>
        </w:trPr>
        <w:tc>
          <w:tcPr>
            <w:tcW w:w="3211" w:type="dxa"/>
          </w:tcPr>
          <w:p w14:paraId="7E037EE1" w14:textId="77777777" w:rsidR="00706B73" w:rsidRPr="00362D50" w:rsidRDefault="00706B73" w:rsidP="00362D50">
            <w:pPr>
              <w:rPr>
                <w:rFonts w:cstheme="minorHAnsi"/>
                <w:b/>
                <w:bCs/>
              </w:rPr>
            </w:pPr>
            <w:r w:rsidRPr="00362D50">
              <w:rPr>
                <w:rFonts w:cstheme="minorHAnsi"/>
                <w:b/>
                <w:bCs/>
              </w:rPr>
              <w:t>Tytuł dokumentu</w:t>
            </w:r>
          </w:p>
        </w:tc>
        <w:tc>
          <w:tcPr>
            <w:tcW w:w="6282" w:type="dxa"/>
          </w:tcPr>
          <w:p w14:paraId="67278129" w14:textId="77777777" w:rsidR="00706B73" w:rsidRPr="00362D50" w:rsidRDefault="00706B73" w:rsidP="00362D50">
            <w:pPr>
              <w:rPr>
                <w:rFonts w:cstheme="minorHAnsi"/>
                <w:b/>
                <w:bCs/>
              </w:rPr>
            </w:pPr>
            <w:r w:rsidRPr="00362D50">
              <w:rPr>
                <w:rFonts w:cstheme="minorHAnsi"/>
                <w:b/>
                <w:bCs/>
              </w:rPr>
              <w:t>Analiza zapisów, celów dokumentów na poziomie międzynarodowym/krajowym/regionalnym</w:t>
            </w:r>
          </w:p>
        </w:tc>
        <w:tc>
          <w:tcPr>
            <w:tcW w:w="4501" w:type="dxa"/>
          </w:tcPr>
          <w:p w14:paraId="7192F2CF" w14:textId="79FBB939" w:rsidR="00706B73" w:rsidRPr="00362D50" w:rsidRDefault="00706B73" w:rsidP="00362D50">
            <w:pPr>
              <w:rPr>
                <w:rFonts w:cstheme="minorHAnsi"/>
                <w:b/>
                <w:bCs/>
              </w:rPr>
            </w:pPr>
            <w:r w:rsidRPr="00362D50">
              <w:rPr>
                <w:rFonts w:cstheme="minorHAnsi"/>
                <w:b/>
                <w:bCs/>
              </w:rPr>
              <w:t xml:space="preserve">Analiza </w:t>
            </w:r>
            <w:r w:rsidR="00EA5386" w:rsidRPr="00362D50">
              <w:rPr>
                <w:rFonts w:cstheme="minorHAnsi"/>
                <w:b/>
                <w:bCs/>
              </w:rPr>
              <w:t>powiązań</w:t>
            </w:r>
            <w:r w:rsidRPr="00362D50">
              <w:rPr>
                <w:rFonts w:cstheme="minorHAnsi"/>
                <w:b/>
                <w:bCs/>
              </w:rPr>
              <w:t xml:space="preserve"> ocenian</w:t>
            </w:r>
            <w:r w:rsidR="00C211B3">
              <w:rPr>
                <w:rFonts w:cstheme="minorHAnsi"/>
                <w:b/>
                <w:bCs/>
              </w:rPr>
              <w:t>ego</w:t>
            </w:r>
            <w:r w:rsidRPr="00362D50">
              <w:rPr>
                <w:rFonts w:cstheme="minorHAnsi"/>
                <w:b/>
                <w:bCs/>
              </w:rPr>
              <w:t xml:space="preserve"> projekt</w:t>
            </w:r>
            <w:r w:rsidR="00C211B3">
              <w:rPr>
                <w:rFonts w:cstheme="minorHAnsi"/>
                <w:b/>
                <w:bCs/>
              </w:rPr>
              <w:t>u Koncepcji z innymi dokumentami</w:t>
            </w:r>
          </w:p>
        </w:tc>
      </w:tr>
      <w:tr w:rsidR="00DC00C4" w:rsidRPr="001406A0" w14:paraId="4B17BC81" w14:textId="77777777" w:rsidTr="007979AE">
        <w:tc>
          <w:tcPr>
            <w:tcW w:w="3211" w:type="dxa"/>
          </w:tcPr>
          <w:p w14:paraId="3B32489D" w14:textId="77777777" w:rsidR="002B5F49" w:rsidRPr="00362D50" w:rsidRDefault="002B5F49" w:rsidP="00362D50">
            <w:pPr>
              <w:pStyle w:val="Default"/>
              <w:rPr>
                <w:rFonts w:asciiTheme="minorHAnsi" w:hAnsiTheme="minorHAnsi" w:cstheme="minorHAnsi"/>
                <w:sz w:val="22"/>
                <w:szCs w:val="22"/>
              </w:rPr>
            </w:pPr>
            <w:r w:rsidRPr="00362D50">
              <w:rPr>
                <w:rFonts w:asciiTheme="minorHAnsi" w:hAnsiTheme="minorHAnsi" w:cstheme="minorHAnsi"/>
                <w:sz w:val="22"/>
                <w:szCs w:val="22"/>
              </w:rPr>
              <w:t xml:space="preserve">Europejski Zielony </w:t>
            </w:r>
            <w:r w:rsidR="00287A1D" w:rsidRPr="00362D50">
              <w:rPr>
                <w:rFonts w:asciiTheme="minorHAnsi" w:hAnsiTheme="minorHAnsi" w:cstheme="minorHAnsi"/>
                <w:sz w:val="22"/>
                <w:szCs w:val="22"/>
              </w:rPr>
              <w:t>Ł</w:t>
            </w:r>
            <w:r w:rsidRPr="00362D50">
              <w:rPr>
                <w:rFonts w:asciiTheme="minorHAnsi" w:hAnsiTheme="minorHAnsi" w:cstheme="minorHAnsi"/>
                <w:sz w:val="22"/>
                <w:szCs w:val="22"/>
              </w:rPr>
              <w:t xml:space="preserve">ad </w:t>
            </w:r>
          </w:p>
          <w:p w14:paraId="131891A5" w14:textId="77777777" w:rsidR="00DA6803" w:rsidRPr="00362D50" w:rsidRDefault="00DA6803" w:rsidP="00362D50">
            <w:pPr>
              <w:pStyle w:val="Default"/>
              <w:rPr>
                <w:rFonts w:asciiTheme="minorHAnsi" w:hAnsiTheme="minorHAnsi" w:cstheme="minorHAnsi"/>
                <w:sz w:val="22"/>
                <w:szCs w:val="22"/>
              </w:rPr>
            </w:pPr>
            <w:r w:rsidRPr="00362D50">
              <w:rPr>
                <w:rFonts w:asciiTheme="minorHAnsi" w:hAnsiTheme="minorHAnsi" w:cstheme="minorHAnsi"/>
                <w:sz w:val="22"/>
                <w:szCs w:val="22"/>
              </w:rPr>
              <w:t xml:space="preserve">Komunikat Komisji do Parlamentu Europejskiego, Rady Europejskiej, Rady, Komitetu </w:t>
            </w:r>
            <w:proofErr w:type="spellStart"/>
            <w:r w:rsidRPr="00362D50">
              <w:rPr>
                <w:rFonts w:asciiTheme="minorHAnsi" w:hAnsiTheme="minorHAnsi" w:cstheme="minorHAnsi"/>
                <w:sz w:val="22"/>
                <w:szCs w:val="22"/>
              </w:rPr>
              <w:t>Ekonomiczno</w:t>
            </w:r>
            <w:proofErr w:type="spellEnd"/>
            <w:r w:rsidR="00AE2852" w:rsidRPr="00362D50">
              <w:rPr>
                <w:rFonts w:asciiTheme="minorHAnsi" w:hAnsiTheme="minorHAnsi" w:cstheme="minorHAnsi"/>
                <w:sz w:val="22"/>
                <w:szCs w:val="22"/>
              </w:rPr>
              <w:t xml:space="preserve"> </w:t>
            </w:r>
            <w:r w:rsidRPr="00362D50">
              <w:rPr>
                <w:rFonts w:asciiTheme="minorHAnsi" w:hAnsiTheme="minorHAnsi" w:cstheme="minorHAnsi"/>
                <w:sz w:val="22"/>
                <w:szCs w:val="22"/>
              </w:rPr>
              <w:t xml:space="preserve">Społecznego i Komitetu Regionów, Bruksela, dnia 11.12.2019 r. COM(2019) 640 </w:t>
            </w:r>
            <w:proofErr w:type="spellStart"/>
            <w:r w:rsidRPr="00362D50">
              <w:rPr>
                <w:rFonts w:asciiTheme="minorHAnsi" w:hAnsiTheme="minorHAnsi" w:cstheme="minorHAnsi"/>
                <w:sz w:val="22"/>
                <w:szCs w:val="22"/>
              </w:rPr>
              <w:t>final</w:t>
            </w:r>
            <w:proofErr w:type="spellEnd"/>
          </w:p>
        </w:tc>
        <w:tc>
          <w:tcPr>
            <w:tcW w:w="6282" w:type="dxa"/>
          </w:tcPr>
          <w:p w14:paraId="30981BEB" w14:textId="77777777" w:rsidR="00BD47E7" w:rsidRPr="00362D50" w:rsidRDefault="00DA6803" w:rsidP="00362D50">
            <w:pPr>
              <w:rPr>
                <w:rFonts w:cstheme="minorHAnsi"/>
              </w:rPr>
            </w:pPr>
            <w:r w:rsidRPr="00362D50">
              <w:rPr>
                <w:rFonts w:cstheme="minorHAnsi"/>
              </w:rPr>
              <w:t xml:space="preserve">Europejski Zielony Ład to strategia, której celem jest przeobrażenie UE „w sprawiedliwe i prosperujące społeczeństwo żyjące w nowoczesnej, </w:t>
            </w:r>
            <w:proofErr w:type="spellStart"/>
            <w:r w:rsidRPr="00362D50">
              <w:rPr>
                <w:rFonts w:cstheme="minorHAnsi"/>
              </w:rPr>
              <w:t>zasobooszczędnej</w:t>
            </w:r>
            <w:proofErr w:type="spellEnd"/>
            <w:r w:rsidRPr="00362D50">
              <w:rPr>
                <w:rFonts w:cstheme="minorHAnsi"/>
              </w:rPr>
              <w:t xml:space="preserve"> i konkurencyjnej gospodarce, która w 2050 r. osiągnie zerowy poziom emisji gazów cieplarnianych netto i w ramach której wzrost gospodarczy będzie oddzielony od wykorzystania zasobów naturalnych”. </w:t>
            </w:r>
          </w:p>
          <w:p w14:paraId="5673C9F5" w14:textId="77777777" w:rsidR="002B5F49" w:rsidRPr="00362D50" w:rsidRDefault="00DA6803" w:rsidP="00362D50">
            <w:pPr>
              <w:rPr>
                <w:rFonts w:cstheme="minorHAnsi"/>
              </w:rPr>
            </w:pPr>
            <w:r w:rsidRPr="00362D50">
              <w:rPr>
                <w:rFonts w:cstheme="minorHAnsi"/>
              </w:rPr>
              <w:t xml:space="preserve">Strategia dotyczy </w:t>
            </w:r>
            <w:r w:rsidR="001D1B32" w:rsidRPr="00362D50">
              <w:rPr>
                <w:rFonts w:cstheme="minorHAnsi"/>
              </w:rPr>
              <w:t>m.in.</w:t>
            </w:r>
            <w:r w:rsidRPr="00362D50">
              <w:rPr>
                <w:rFonts w:cstheme="minorHAnsi"/>
              </w:rPr>
              <w:t xml:space="preserve"> inicjatyw</w:t>
            </w:r>
            <w:r w:rsidR="001D1B32" w:rsidRPr="00362D50">
              <w:rPr>
                <w:rFonts w:cstheme="minorHAnsi"/>
              </w:rPr>
              <w:t xml:space="preserve"> </w:t>
            </w:r>
            <w:proofErr w:type="spellStart"/>
            <w:r w:rsidR="001D1B32" w:rsidRPr="00362D50">
              <w:rPr>
                <w:rFonts w:cstheme="minorHAnsi"/>
              </w:rPr>
              <w:t>tj</w:t>
            </w:r>
            <w:proofErr w:type="spellEnd"/>
            <w:r w:rsidRPr="00362D50">
              <w:rPr>
                <w:rFonts w:cstheme="minorHAnsi"/>
              </w:rPr>
              <w:t xml:space="preserve">: </w:t>
            </w:r>
          </w:p>
          <w:p w14:paraId="33178FB3" w14:textId="77777777" w:rsidR="002B5F49" w:rsidRPr="00362D50" w:rsidRDefault="00DA6803" w:rsidP="00D863A4">
            <w:pPr>
              <w:pStyle w:val="Akapitzlist"/>
              <w:numPr>
                <w:ilvl w:val="0"/>
                <w:numId w:val="1"/>
              </w:numPr>
              <w:rPr>
                <w:rFonts w:cstheme="minorHAnsi"/>
              </w:rPr>
            </w:pPr>
            <w:r w:rsidRPr="00362D50">
              <w:rPr>
                <w:rFonts w:cstheme="minorHAnsi"/>
              </w:rPr>
              <w:t xml:space="preserve">ambitne cele klimatyczne UE na lata 2030 i 2050 (osiągnięcie neutralności klimatycznej); </w:t>
            </w:r>
          </w:p>
          <w:p w14:paraId="29F09BBF" w14:textId="77777777" w:rsidR="002B5F49" w:rsidRPr="00362D50" w:rsidRDefault="00DA6803" w:rsidP="00D863A4">
            <w:pPr>
              <w:pStyle w:val="Akapitzlist"/>
              <w:numPr>
                <w:ilvl w:val="0"/>
                <w:numId w:val="1"/>
              </w:numPr>
              <w:rPr>
                <w:rFonts w:cstheme="minorHAnsi"/>
              </w:rPr>
            </w:pPr>
            <w:r w:rsidRPr="00362D50">
              <w:rPr>
                <w:rFonts w:cstheme="minorHAnsi"/>
              </w:rPr>
              <w:t xml:space="preserve">realizacja prac budowlanych i remontowych w sposób oszczędzający energię i zasoby (egzekwowanie przepisów obejmujących charakterystykę energetyczną budynków); </w:t>
            </w:r>
          </w:p>
          <w:p w14:paraId="0E93C070" w14:textId="77777777" w:rsidR="00DA6803" w:rsidRPr="00362D50" w:rsidRDefault="00DA6803" w:rsidP="00D863A4">
            <w:pPr>
              <w:pStyle w:val="Akapitzlist"/>
              <w:numPr>
                <w:ilvl w:val="0"/>
                <w:numId w:val="1"/>
              </w:numPr>
              <w:rPr>
                <w:rFonts w:cstheme="minorHAnsi"/>
                <w:color w:val="4D5156"/>
                <w:shd w:val="clear" w:color="auto" w:fill="FFFFFF"/>
              </w:rPr>
            </w:pPr>
            <w:r w:rsidRPr="00362D50">
              <w:rPr>
                <w:rFonts w:cstheme="minorHAnsi"/>
              </w:rPr>
              <w:t>zrównoważona i inteligentna mobilność (należy m.in. zwiększyć produkcję/wprowadzanie alternatywnych, zrównoważonych paliw transportowych, ograniczyć emisję powstającą ze środków transportu).</w:t>
            </w:r>
          </w:p>
          <w:p w14:paraId="554A3831" w14:textId="77777777" w:rsidR="001D1B32" w:rsidRPr="00362D50" w:rsidRDefault="001D1B32" w:rsidP="00362D50">
            <w:pPr>
              <w:rPr>
                <w:rFonts w:cstheme="minorHAnsi"/>
                <w:color w:val="4D5156"/>
                <w:shd w:val="clear" w:color="auto" w:fill="FFFFFF"/>
              </w:rPr>
            </w:pPr>
            <w:r w:rsidRPr="00362D50">
              <w:rPr>
                <w:rFonts w:cstheme="minorHAnsi"/>
                <w:color w:val="212529"/>
                <w:shd w:val="clear" w:color="auto" w:fill="FFFFFF"/>
              </w:rPr>
              <w:t xml:space="preserve">Zakładana w ramach </w:t>
            </w:r>
            <w:r w:rsidRPr="00362D50">
              <w:rPr>
                <w:rFonts w:cstheme="minorHAnsi"/>
              </w:rPr>
              <w:t>Zielonego Ładu modernizacja wszystkich rodzajów transportu przyczyni się do redukcji emisji do atmosfery, a przez to zapewni lepszą jakość powietrza, pozwoli na osiągnięcie niższego poziom hałasu i ruchu bezwypadkowego. Strategia  c</w:t>
            </w:r>
            <w:r w:rsidRPr="00362D50">
              <w:rPr>
                <w:rFonts w:cstheme="minorHAnsi"/>
                <w:bCs/>
              </w:rPr>
              <w:t xml:space="preserve">zystej, bezpiecznej i połączonej mobilności </w:t>
            </w:r>
            <w:r w:rsidRPr="00362D50">
              <w:rPr>
                <w:rFonts w:cstheme="minorHAnsi"/>
              </w:rPr>
              <w:t>kładzie szczególny nacisk na rozbudowę bezpiecznych ścieżek dla mieszkańców poruszających się na rowerach i pieszo. W ramach tych inicjatyw planowane jest również udostępnianie mieszkańcom, terenów do tej pory niewykorzystywanych, na cele rekreacji i poprawy stanu zdrowia.</w:t>
            </w:r>
          </w:p>
        </w:tc>
        <w:tc>
          <w:tcPr>
            <w:tcW w:w="4501" w:type="dxa"/>
          </w:tcPr>
          <w:p w14:paraId="1B5A8FC9" w14:textId="6E9F903E" w:rsidR="001D1B32" w:rsidRPr="00362D50" w:rsidRDefault="00DA6803" w:rsidP="00362D50">
            <w:pPr>
              <w:rPr>
                <w:rFonts w:cstheme="minorHAnsi"/>
              </w:rPr>
            </w:pPr>
            <w:r w:rsidRPr="00362D50">
              <w:rPr>
                <w:rFonts w:cstheme="minorHAnsi"/>
              </w:rPr>
              <w:t xml:space="preserve">Projekt </w:t>
            </w:r>
            <w:r w:rsidR="00452C27" w:rsidRPr="00362D50">
              <w:rPr>
                <w:rFonts w:cstheme="minorHAnsi"/>
              </w:rPr>
              <w:t xml:space="preserve"> </w:t>
            </w:r>
            <w:r w:rsidRPr="00362D50">
              <w:rPr>
                <w:rFonts w:cstheme="minorHAnsi"/>
              </w:rPr>
              <w:t xml:space="preserve">zakłada interwencję w ramach </w:t>
            </w:r>
            <w:r w:rsidR="002B5F49" w:rsidRPr="00362D50">
              <w:rPr>
                <w:rFonts w:cstheme="minorHAnsi"/>
              </w:rPr>
              <w:t>celów</w:t>
            </w:r>
            <w:r w:rsidR="006C3A0C" w:rsidRPr="00362D50">
              <w:rPr>
                <w:rFonts w:cstheme="minorHAnsi"/>
              </w:rPr>
              <w:t xml:space="preserve"> związanych </w:t>
            </w:r>
            <w:r w:rsidR="00294C04" w:rsidRPr="00362D50">
              <w:rPr>
                <w:rFonts w:cstheme="minorHAnsi"/>
              </w:rPr>
              <w:t>promowanie</w:t>
            </w:r>
            <w:r w:rsidR="00943592">
              <w:rPr>
                <w:rFonts w:cstheme="minorHAnsi"/>
              </w:rPr>
              <w:t>m</w:t>
            </w:r>
            <w:r w:rsidR="00294C04" w:rsidRPr="00362D50">
              <w:rPr>
                <w:rFonts w:cstheme="minorHAnsi"/>
              </w:rPr>
              <w:t xml:space="preserve"> ekologicznej turystyki</w:t>
            </w:r>
            <w:r w:rsidR="00943592" w:rsidRPr="00362D50">
              <w:rPr>
                <w:rFonts w:cstheme="minorHAnsi"/>
              </w:rPr>
              <w:t xml:space="preserve"> </w:t>
            </w:r>
            <w:r w:rsidR="00943592">
              <w:rPr>
                <w:rFonts w:cstheme="minorHAnsi"/>
              </w:rPr>
              <w:t xml:space="preserve">i </w:t>
            </w:r>
            <w:r w:rsidR="00943592" w:rsidRPr="00362D50">
              <w:rPr>
                <w:rFonts w:cstheme="minorHAnsi"/>
              </w:rPr>
              <w:t>realizacją  tras rowerowych dla mieszkańców</w:t>
            </w:r>
            <w:r w:rsidR="00294C04" w:rsidRPr="00362D50">
              <w:rPr>
                <w:rFonts w:cstheme="minorHAnsi"/>
              </w:rPr>
              <w:t xml:space="preserve">. Zakładane działania edukacyjne mają na celu </w:t>
            </w:r>
            <w:r w:rsidR="00294C04" w:rsidRPr="00362D50">
              <w:rPr>
                <w:rFonts w:cstheme="minorHAnsi"/>
                <w:kern w:val="2"/>
              </w:rPr>
              <w:t xml:space="preserve">promowanie odpowiedzialnych </w:t>
            </w:r>
            <w:proofErr w:type="spellStart"/>
            <w:r w:rsidR="00294C04" w:rsidRPr="00362D50">
              <w:rPr>
                <w:rFonts w:cstheme="minorHAnsi"/>
                <w:kern w:val="2"/>
              </w:rPr>
              <w:t>zachowań</w:t>
            </w:r>
            <w:proofErr w:type="spellEnd"/>
            <w:r w:rsidR="00294C04" w:rsidRPr="00362D50">
              <w:rPr>
                <w:rFonts w:cstheme="minorHAnsi"/>
                <w:kern w:val="2"/>
              </w:rPr>
              <w:t xml:space="preserve"> oraz edukację podróżujących w zakresie najlepszych praktyk środowiskowych.</w:t>
            </w:r>
            <w:r w:rsidR="00294C04" w:rsidRPr="00362D50">
              <w:rPr>
                <w:rFonts w:cstheme="minorHAnsi"/>
              </w:rPr>
              <w:t xml:space="preserve"> W ramach celów Koncepcji planuje się wsparcie dla działań informacyjno-edukacyjnych mających znaczenia dla m</w:t>
            </w:r>
            <w:r w:rsidR="00294C04" w:rsidRPr="00362D50">
              <w:rPr>
                <w:rFonts w:cstheme="minorHAnsi"/>
                <w:kern w:val="2"/>
              </w:rPr>
              <w:t>inimalizacji śladu ekologicznego, właściwego zarządzania odpadami, oszczędzania zasobów naturalnych oraz poszanowania lokalnej fauny i flory.</w:t>
            </w:r>
          </w:p>
          <w:p w14:paraId="7C4ADFA4" w14:textId="74A85705" w:rsidR="001D1B32" w:rsidRPr="00362D50" w:rsidRDefault="00DA6803" w:rsidP="00362D50">
            <w:pPr>
              <w:rPr>
                <w:rFonts w:cstheme="minorHAnsi"/>
              </w:rPr>
            </w:pPr>
            <w:r w:rsidRPr="00362D50">
              <w:rPr>
                <w:rFonts w:cstheme="minorHAnsi"/>
              </w:rPr>
              <w:t xml:space="preserve">Dodatkowo w projekcie </w:t>
            </w:r>
            <w:r w:rsidR="001D1B32" w:rsidRPr="00362D50">
              <w:rPr>
                <w:rFonts w:cstheme="minorHAnsi"/>
              </w:rPr>
              <w:t xml:space="preserve">koncepcji </w:t>
            </w:r>
            <w:r w:rsidRPr="00362D50">
              <w:rPr>
                <w:rFonts w:cstheme="minorHAnsi"/>
              </w:rPr>
              <w:t xml:space="preserve">przewidziano </w:t>
            </w:r>
            <w:r w:rsidR="00294C04" w:rsidRPr="00362D50">
              <w:rPr>
                <w:rFonts w:cstheme="minorHAnsi"/>
              </w:rPr>
              <w:t xml:space="preserve">realizację prac budowlanych i remontowych w sposób oszczędzający energię i zasoby. </w:t>
            </w:r>
            <w:r w:rsidR="00943592">
              <w:rPr>
                <w:rFonts w:cstheme="minorHAnsi"/>
              </w:rPr>
              <w:t xml:space="preserve">Miejsca Przyjazne Rowerom (MPK) i </w:t>
            </w:r>
            <w:r w:rsidR="00294C04" w:rsidRPr="00362D50">
              <w:rPr>
                <w:rFonts w:cstheme="minorHAnsi"/>
                <w:kern w:val="2"/>
              </w:rPr>
              <w:t>Miejsc</w:t>
            </w:r>
            <w:r w:rsidR="003525EF" w:rsidRPr="00362D50">
              <w:rPr>
                <w:rFonts w:cstheme="minorHAnsi"/>
                <w:kern w:val="2"/>
              </w:rPr>
              <w:t>e</w:t>
            </w:r>
            <w:r w:rsidR="00294C04" w:rsidRPr="00362D50">
              <w:rPr>
                <w:rFonts w:cstheme="minorHAnsi"/>
                <w:kern w:val="2"/>
              </w:rPr>
              <w:t xml:space="preserve"> Obsługi Kamperów (MOK) zostan</w:t>
            </w:r>
            <w:r w:rsidR="00943592">
              <w:rPr>
                <w:rFonts w:cstheme="minorHAnsi"/>
                <w:kern w:val="2"/>
              </w:rPr>
              <w:t>ą</w:t>
            </w:r>
            <w:r w:rsidR="00294C04" w:rsidRPr="00362D50">
              <w:rPr>
                <w:rFonts w:cstheme="minorHAnsi"/>
                <w:kern w:val="2"/>
              </w:rPr>
              <w:t xml:space="preserve"> wyposażone </w:t>
            </w:r>
            <w:r w:rsidR="00943592">
              <w:rPr>
                <w:rFonts w:cstheme="minorHAnsi"/>
                <w:kern w:val="2"/>
              </w:rPr>
              <w:t xml:space="preserve">w </w:t>
            </w:r>
            <w:r w:rsidR="003525EF" w:rsidRPr="00362D50">
              <w:rPr>
                <w:rFonts w:cstheme="minorHAnsi"/>
                <w:kern w:val="2"/>
              </w:rPr>
              <w:t>sieć kanalizacyjną oraz wodociągową.</w:t>
            </w:r>
            <w:r w:rsidR="00294C04" w:rsidRPr="00362D50">
              <w:rPr>
                <w:rFonts w:cstheme="minorHAnsi"/>
                <w:kern w:val="2"/>
              </w:rPr>
              <w:t xml:space="preserve"> Dzięki temu, turystyka </w:t>
            </w:r>
            <w:r w:rsidR="00943592">
              <w:rPr>
                <w:rFonts w:cstheme="minorHAnsi"/>
                <w:kern w:val="2"/>
              </w:rPr>
              <w:t xml:space="preserve">rowerowa i </w:t>
            </w:r>
            <w:proofErr w:type="spellStart"/>
            <w:r w:rsidR="00294C04" w:rsidRPr="00362D50">
              <w:rPr>
                <w:rFonts w:cstheme="minorHAnsi"/>
                <w:kern w:val="2"/>
              </w:rPr>
              <w:t>kamperowa</w:t>
            </w:r>
            <w:proofErr w:type="spellEnd"/>
            <w:r w:rsidR="00294C04" w:rsidRPr="00362D50">
              <w:rPr>
                <w:rFonts w:cstheme="minorHAnsi"/>
                <w:kern w:val="2"/>
              </w:rPr>
              <w:t xml:space="preserve"> będzie mniej obciążająca dla środowiska i bardziej zgodna z zasadami zrównoważonego rozwoju.</w:t>
            </w:r>
          </w:p>
          <w:p w14:paraId="5F729DAC" w14:textId="77777777" w:rsidR="00DA6803" w:rsidRPr="00362D50" w:rsidRDefault="00DA6803" w:rsidP="00362D50">
            <w:pPr>
              <w:rPr>
                <w:rFonts w:cstheme="minorHAnsi"/>
              </w:rPr>
            </w:pPr>
            <w:r w:rsidRPr="00362D50">
              <w:rPr>
                <w:rFonts w:cstheme="minorHAnsi"/>
              </w:rPr>
              <w:t xml:space="preserve">Przyjęty kierunek interwencji projektu </w:t>
            </w:r>
            <w:r w:rsidR="006C3A0C" w:rsidRPr="00362D50">
              <w:rPr>
                <w:rFonts w:cstheme="minorHAnsi"/>
              </w:rPr>
              <w:t>Koncepcji</w:t>
            </w:r>
            <w:r w:rsidRPr="00362D50">
              <w:rPr>
                <w:rFonts w:cstheme="minorHAnsi"/>
              </w:rPr>
              <w:t xml:space="preserve"> jest spójny z założeniami zawartymi w Zielonym Ładzie.</w:t>
            </w:r>
          </w:p>
        </w:tc>
      </w:tr>
      <w:tr w:rsidR="00DC00C4" w:rsidRPr="001406A0" w14:paraId="30B28874" w14:textId="77777777" w:rsidTr="007979AE">
        <w:tc>
          <w:tcPr>
            <w:tcW w:w="3211" w:type="dxa"/>
          </w:tcPr>
          <w:p w14:paraId="68A785B7" w14:textId="4765B8EA" w:rsidR="00AE2852" w:rsidRPr="00362D50" w:rsidRDefault="009268A7" w:rsidP="00362D50">
            <w:pPr>
              <w:autoSpaceDE w:val="0"/>
              <w:autoSpaceDN w:val="0"/>
              <w:adjustRightInd w:val="0"/>
              <w:rPr>
                <w:rFonts w:cstheme="minorHAnsi"/>
              </w:rPr>
            </w:pPr>
            <w:r w:rsidRPr="00362D50">
              <w:rPr>
                <w:rFonts w:cstheme="minorHAnsi"/>
                <w:color w:val="000000"/>
              </w:rPr>
              <w:t xml:space="preserve">Biała Księga Transportu Komisji Europejskiej „Plan utworzenia </w:t>
            </w:r>
            <w:r w:rsidRPr="00362D50">
              <w:rPr>
                <w:rFonts w:cstheme="minorHAnsi"/>
                <w:color w:val="000000"/>
              </w:rPr>
              <w:lastRenderedPageBreak/>
              <w:t xml:space="preserve">jednolitego europejskiego obszaru transportu – dążenie do osiągnięcia konkurencyjnego i </w:t>
            </w:r>
            <w:proofErr w:type="spellStart"/>
            <w:r w:rsidRPr="00362D50">
              <w:rPr>
                <w:rFonts w:cstheme="minorHAnsi"/>
                <w:color w:val="000000"/>
              </w:rPr>
              <w:t>zasobooszczędnego</w:t>
            </w:r>
            <w:proofErr w:type="spellEnd"/>
            <w:r w:rsidRPr="00362D50">
              <w:rPr>
                <w:rFonts w:cstheme="minorHAnsi"/>
                <w:color w:val="000000"/>
              </w:rPr>
              <w:t xml:space="preserve"> systemu transportu” z dnia 28 marca 2011r.</w:t>
            </w:r>
          </w:p>
        </w:tc>
        <w:tc>
          <w:tcPr>
            <w:tcW w:w="6282" w:type="dxa"/>
          </w:tcPr>
          <w:p w14:paraId="7DC1AA0C" w14:textId="77777777" w:rsidR="001C5D02" w:rsidRPr="00362D50" w:rsidRDefault="001C5A38" w:rsidP="00362D50">
            <w:pPr>
              <w:rPr>
                <w:rFonts w:cstheme="minorHAnsi"/>
              </w:rPr>
            </w:pPr>
            <w:r w:rsidRPr="00362D50">
              <w:rPr>
                <w:rFonts w:cstheme="minorHAnsi"/>
              </w:rPr>
              <w:lastRenderedPageBreak/>
              <w:t xml:space="preserve">Dokument jako główne cele do osiągnięcia wskazuje:  integrację i ujednolicenie transportu w Europie, znaczne </w:t>
            </w:r>
            <w:r w:rsidRPr="00362D50">
              <w:rPr>
                <w:rFonts w:cstheme="minorHAnsi"/>
              </w:rPr>
              <w:lastRenderedPageBreak/>
              <w:t>zmniejszenie emisji CO</w:t>
            </w:r>
            <w:r w:rsidRPr="00362D50">
              <w:rPr>
                <w:rFonts w:cstheme="minorHAnsi"/>
                <w:vertAlign w:val="subscript"/>
              </w:rPr>
              <w:t>2</w:t>
            </w:r>
            <w:r w:rsidRPr="00362D50">
              <w:rPr>
                <w:rFonts w:cstheme="minorHAnsi"/>
              </w:rPr>
              <w:t xml:space="preserve"> poprzez rozwój nowoczesnych technologii produkcji silników oraz zwiększenie aktywizacji bardziej ekologicznych i wydajniejszych środków transportu, czyli kolejowego oraz wodnego. Wskazane w dokumencie cele na rzecz utworzenia konkurencyjnego i </w:t>
            </w:r>
            <w:proofErr w:type="spellStart"/>
            <w:r w:rsidRPr="00362D50">
              <w:rPr>
                <w:rFonts w:cstheme="minorHAnsi"/>
              </w:rPr>
              <w:t>zasobooszczędnego</w:t>
            </w:r>
            <w:proofErr w:type="spellEnd"/>
            <w:r w:rsidRPr="00362D50">
              <w:rPr>
                <w:rFonts w:cstheme="minorHAnsi"/>
              </w:rPr>
              <w:t xml:space="preserve"> systemu transportu dotyczą:</w:t>
            </w:r>
          </w:p>
          <w:p w14:paraId="09A59622" w14:textId="77777777" w:rsidR="001C5A38" w:rsidRPr="00362D50" w:rsidRDefault="001C5A38" w:rsidP="00D863A4">
            <w:pPr>
              <w:pStyle w:val="Akapitzlist"/>
              <w:numPr>
                <w:ilvl w:val="0"/>
                <w:numId w:val="10"/>
              </w:numPr>
              <w:rPr>
                <w:rFonts w:cstheme="minorHAnsi"/>
              </w:rPr>
            </w:pPr>
            <w:r w:rsidRPr="00362D50">
              <w:rPr>
                <w:rFonts w:cstheme="minorHAnsi"/>
              </w:rPr>
              <w:t>rozwoju i wprowadzenia nowych paliw i systemów napędowych zgodnych z zasadą zrównoważonego rozwoju;</w:t>
            </w:r>
          </w:p>
          <w:p w14:paraId="307D4EEC" w14:textId="77777777" w:rsidR="001C5A38" w:rsidRPr="00362D50" w:rsidRDefault="001C5A38" w:rsidP="00D863A4">
            <w:pPr>
              <w:pStyle w:val="Akapitzlist"/>
              <w:numPr>
                <w:ilvl w:val="0"/>
                <w:numId w:val="10"/>
              </w:numPr>
              <w:rPr>
                <w:rFonts w:cstheme="minorHAnsi"/>
              </w:rPr>
            </w:pPr>
            <w:r w:rsidRPr="00362D50">
              <w:rPr>
                <w:rFonts w:cstheme="minorHAnsi"/>
              </w:rPr>
              <w:t>optymalizacji działania multimodalnych łańcuchów logistycznych, m.in. poprzez większe wykorzystanie bardziej energooszczędnych środków transportu;</w:t>
            </w:r>
          </w:p>
          <w:p w14:paraId="524992E4" w14:textId="77777777" w:rsidR="001C5A38" w:rsidRPr="00362D50" w:rsidRDefault="001C5A38" w:rsidP="00D863A4">
            <w:pPr>
              <w:pStyle w:val="Akapitzlist"/>
              <w:numPr>
                <w:ilvl w:val="0"/>
                <w:numId w:val="10"/>
              </w:numPr>
              <w:rPr>
                <w:rFonts w:cstheme="minorHAnsi"/>
              </w:rPr>
            </w:pPr>
            <w:r w:rsidRPr="00362D50">
              <w:rPr>
                <w:rFonts w:cstheme="minorHAnsi"/>
              </w:rPr>
              <w:t>wzrostu efektywności korzystania z transportu i infrastruktury dzięki systemom informacji i zachętom rynkowym.</w:t>
            </w:r>
          </w:p>
          <w:p w14:paraId="6B9528E4" w14:textId="77777777" w:rsidR="001C5A38" w:rsidRPr="00362D50" w:rsidRDefault="007F2FC2" w:rsidP="00362D50">
            <w:pPr>
              <w:rPr>
                <w:rFonts w:cstheme="minorHAnsi"/>
              </w:rPr>
            </w:pPr>
            <w:r w:rsidRPr="00362D50">
              <w:rPr>
                <w:rFonts w:cstheme="minorHAnsi"/>
              </w:rPr>
              <w:t xml:space="preserve">Kierunki działań wskazane w dokumencie mają na celu </w:t>
            </w:r>
            <w:r w:rsidR="001C5A38" w:rsidRPr="00362D50">
              <w:rPr>
                <w:rFonts w:cstheme="minorHAnsi"/>
              </w:rPr>
              <w:t>osiągnięcie bardziej konkurencyjnego systemu transportu zgodnego z zasadą zrównoważonego rozwoju</w:t>
            </w:r>
            <w:r w:rsidRPr="00362D50">
              <w:rPr>
                <w:rFonts w:cstheme="minorHAnsi"/>
              </w:rPr>
              <w:t>. W dokumencie, jako jeden z kierunków miejskiej mobilności i infrastruktury wskazano tworzenie lepszych warunków do chodzenia na piechotę i jazdy na rowerze.</w:t>
            </w:r>
            <w:r w:rsidR="00292E93" w:rsidRPr="00362D50">
              <w:rPr>
                <w:rFonts w:cstheme="minorHAnsi"/>
              </w:rPr>
              <w:t xml:space="preserve"> Dążenie do wyeliminowania ofiar śmiertelnych na drogach poprzez zwrócenie szczególnej uwagi na szczególnie zagrożonych użytkowników – pieszych, rowerzystów i motocyklistów jest również jednym z kierunków Białej Księgi. Kierunek ten powinien być realizowany poprzez budowę bezpieczniejszej infrastruktury. </w:t>
            </w:r>
          </w:p>
        </w:tc>
        <w:tc>
          <w:tcPr>
            <w:tcW w:w="4501" w:type="dxa"/>
          </w:tcPr>
          <w:p w14:paraId="544E9A87" w14:textId="791F418A" w:rsidR="006E0F1F" w:rsidRPr="00362D50" w:rsidRDefault="006E0F1F" w:rsidP="00362D50">
            <w:pPr>
              <w:rPr>
                <w:rFonts w:cstheme="minorHAnsi"/>
              </w:rPr>
            </w:pPr>
            <w:r w:rsidRPr="00362D50">
              <w:rPr>
                <w:rFonts w:cstheme="minorHAnsi"/>
              </w:rPr>
              <w:lastRenderedPageBreak/>
              <w:t xml:space="preserve">Projekt zakłada interwencję w ramach celów związanych z </w:t>
            </w:r>
            <w:r w:rsidR="00292E93" w:rsidRPr="00362D50">
              <w:rPr>
                <w:rFonts w:cstheme="minorHAnsi"/>
              </w:rPr>
              <w:t xml:space="preserve">realizacją tras rowerowych dla </w:t>
            </w:r>
            <w:r w:rsidR="00292E93" w:rsidRPr="00362D50">
              <w:rPr>
                <w:rFonts w:cstheme="minorHAnsi"/>
              </w:rPr>
              <w:lastRenderedPageBreak/>
              <w:t>mieszkańców i promowanie ekologicznej turystyki. W projekcie koncepcji przewidziano</w:t>
            </w:r>
          </w:p>
          <w:p w14:paraId="668B15DE" w14:textId="41BDFE2F" w:rsidR="006E0F1F" w:rsidRPr="00362D50" w:rsidRDefault="00292E93" w:rsidP="00362D50">
            <w:pPr>
              <w:rPr>
                <w:rFonts w:cstheme="minorHAnsi"/>
              </w:rPr>
            </w:pPr>
            <w:r w:rsidRPr="00362D50">
              <w:rPr>
                <w:rFonts w:cstheme="minorHAnsi"/>
              </w:rPr>
              <w:t>realizacje Miejsc Obsługi Rowerzystów (MOR), które są kluczowe dla zapewnienia komfortu i bezpieczeństwa rowerzystów podróżujących trasą "Blue Valley". Miejsca te stanowi</w:t>
            </w:r>
            <w:r w:rsidR="00AA3B8D">
              <w:rPr>
                <w:rFonts w:cstheme="minorHAnsi"/>
              </w:rPr>
              <w:t>ą</w:t>
            </w:r>
            <w:r w:rsidRPr="00362D50">
              <w:rPr>
                <w:rFonts w:cstheme="minorHAnsi"/>
              </w:rPr>
              <w:t xml:space="preserve"> elementy infrastruktury służącej poprawie bezpieczeństwa podróżujących. </w:t>
            </w:r>
          </w:p>
          <w:p w14:paraId="00D2C3EA" w14:textId="77777777" w:rsidR="00DA6803" w:rsidRPr="00362D50" w:rsidRDefault="006E0F1F" w:rsidP="00362D50">
            <w:pPr>
              <w:rPr>
                <w:rFonts w:cstheme="minorHAnsi"/>
              </w:rPr>
            </w:pPr>
            <w:r w:rsidRPr="00362D50">
              <w:rPr>
                <w:rFonts w:cstheme="minorHAnsi"/>
              </w:rPr>
              <w:t xml:space="preserve">Przyjęty kierunek interwencji projektu Koncepcji </w:t>
            </w:r>
            <w:r w:rsidR="00292E93" w:rsidRPr="00362D50">
              <w:rPr>
                <w:rFonts w:cstheme="minorHAnsi"/>
              </w:rPr>
              <w:t>nie jest sprzeczny</w:t>
            </w:r>
            <w:r w:rsidRPr="00362D50">
              <w:rPr>
                <w:rFonts w:cstheme="minorHAnsi"/>
              </w:rPr>
              <w:t xml:space="preserve"> z założeniami zawartymi</w:t>
            </w:r>
            <w:r w:rsidR="00292E93" w:rsidRPr="00362D50">
              <w:rPr>
                <w:rFonts w:cstheme="minorHAnsi"/>
              </w:rPr>
              <w:t xml:space="preserve"> w dokumencie Biała Księga. </w:t>
            </w:r>
          </w:p>
        </w:tc>
      </w:tr>
      <w:tr w:rsidR="009268A7" w:rsidRPr="001406A0" w14:paraId="1C126F26" w14:textId="77777777" w:rsidTr="007979AE">
        <w:tc>
          <w:tcPr>
            <w:tcW w:w="3211" w:type="dxa"/>
          </w:tcPr>
          <w:p w14:paraId="4C299691" w14:textId="77777777" w:rsidR="009268A7" w:rsidRPr="00362D50" w:rsidRDefault="009268A7" w:rsidP="00362D50">
            <w:pPr>
              <w:rPr>
                <w:rFonts w:cstheme="minorHAnsi"/>
                <w:color w:val="000000"/>
              </w:rPr>
            </w:pPr>
            <w:r w:rsidRPr="00362D50">
              <w:rPr>
                <w:rFonts w:cstheme="minorHAnsi"/>
                <w:color w:val="000000"/>
              </w:rPr>
              <w:lastRenderedPageBreak/>
              <w:t>Rezolucja Parlamentu Europejskiego z dnia 16 lutego 2023 r. w sprawie opracowania unijnej strategii transportu rowerowego</w:t>
            </w:r>
          </w:p>
        </w:tc>
        <w:tc>
          <w:tcPr>
            <w:tcW w:w="6282" w:type="dxa"/>
          </w:tcPr>
          <w:p w14:paraId="72822881" w14:textId="77777777" w:rsidR="009268A7" w:rsidRPr="00362D50" w:rsidRDefault="003B01C3" w:rsidP="00362D50">
            <w:pPr>
              <w:pStyle w:val="Akapitzlist"/>
              <w:ind w:left="0"/>
              <w:rPr>
                <w:rFonts w:cstheme="minorHAnsi"/>
              </w:rPr>
            </w:pPr>
            <w:r w:rsidRPr="00362D50">
              <w:rPr>
                <w:rFonts w:cstheme="minorHAnsi"/>
              </w:rPr>
              <w:t xml:space="preserve">Dokumenty wskazuje na zmianę podejścia społeczeństwa do podróży rowerem, tworzenia nowoczesnej i bezpiecznej infrastruktury rowerowej, a także potrzebę wprowadzania odpowiednich regulacji, które usprawniłyby korzystanie z transportu rowerowego. Rezolucja określa  szereg potrzebnych i zalecanych działań oraz zachęca państwa członkowskie i władze lokalne do znacznego zwiększenia inwestycji w budowę oddzielnej </w:t>
            </w:r>
            <w:r w:rsidRPr="00362D50">
              <w:rPr>
                <w:rFonts w:cstheme="minorHAnsi"/>
              </w:rPr>
              <w:lastRenderedPageBreak/>
              <w:t xml:space="preserve">infrastruktury rowerowej, do włączenia przystępnych cenowo systemów wspólnego korzystania z rowerów elektrycznych i rowerów tradycyjnych do sieci planów mobilności oraz do uznania transportu rowerowego za kluczowe rozwiązanie dotyczące „ostatniej mili” w miejskich węzłach komunikacyjnych. Rezolucja  wzywa Komisję, państwa członkowskie oraz władze regionalne i lokalne do prowadzenia kampanii edukacyjnych i szkoleń, w tym kampanii informacyjnych, w celu zwiększenia świadomości na temat bezpieczeństwa ruchu drogowego oraz wsparcia bezpiecznego korzystania z rowerów i rowerów elektrycznych. Podkreśla, że należy wspierać turystykę rowerową i transport rowerowy na obszarach wiejskich poprzez przyspieszenie rozwoju sieci </w:t>
            </w:r>
            <w:proofErr w:type="spellStart"/>
            <w:r w:rsidRPr="00362D50">
              <w:rPr>
                <w:rFonts w:cstheme="minorHAnsi"/>
              </w:rPr>
              <w:t>EuroVelo</w:t>
            </w:r>
            <w:proofErr w:type="spellEnd"/>
            <w:r w:rsidRPr="00362D50">
              <w:rPr>
                <w:rFonts w:cstheme="minorHAnsi"/>
              </w:rPr>
              <w:t xml:space="preserve"> i jej 17 tras, w szczególności poprzez zapewnienie większego wsparcia oraz wykorzystanie synergii z siecią TEN-T.</w:t>
            </w:r>
          </w:p>
        </w:tc>
        <w:tc>
          <w:tcPr>
            <w:tcW w:w="4501" w:type="dxa"/>
          </w:tcPr>
          <w:p w14:paraId="0658CDB6" w14:textId="4AC03B7F" w:rsidR="006E0F1F" w:rsidRPr="00362D50" w:rsidRDefault="00AA3B8D" w:rsidP="00362D50">
            <w:pPr>
              <w:rPr>
                <w:rFonts w:cstheme="minorHAnsi"/>
              </w:rPr>
            </w:pPr>
            <w:r>
              <w:rPr>
                <w:rFonts w:cstheme="minorHAnsi"/>
              </w:rPr>
              <w:lastRenderedPageBreak/>
              <w:t xml:space="preserve">Projekt </w:t>
            </w:r>
            <w:r w:rsidR="004E21FE" w:rsidRPr="00362D50">
              <w:rPr>
                <w:rFonts w:cstheme="minorHAnsi"/>
                <w:kern w:val="2"/>
              </w:rPr>
              <w:t>dąży do stworzenia zrównoważonego modelu turystyki, który będzie służył jako wzór dla innych inicjatyw w Polsce i na świecie, pokazując, jak można łączyć rozwój turystyczny z głębokim szacunkiem i troską o środowisko naturalne.</w:t>
            </w:r>
          </w:p>
          <w:p w14:paraId="17D86183" w14:textId="55C16C81" w:rsidR="006E0F1F" w:rsidRPr="00362D50" w:rsidRDefault="006E0F1F" w:rsidP="00362D50">
            <w:pPr>
              <w:rPr>
                <w:rFonts w:cstheme="minorHAnsi"/>
              </w:rPr>
            </w:pPr>
            <w:r w:rsidRPr="00362D50">
              <w:rPr>
                <w:rFonts w:cstheme="minorHAnsi"/>
              </w:rPr>
              <w:lastRenderedPageBreak/>
              <w:t xml:space="preserve">W ramach celów Koncepcji planuje się wsparcie dla </w:t>
            </w:r>
            <w:r w:rsidR="004E21FE" w:rsidRPr="00362D50">
              <w:rPr>
                <w:rFonts w:cstheme="minorHAnsi"/>
                <w:kern w:val="2"/>
              </w:rPr>
              <w:t>budowy przestrzeni mających na celu zapewnienie wysokiej jakości usług dla turystów.  Przy projektowaniu miejsc obsługi turystów (MOR,MPK, MOK) kluczowe będzie uwzględnienie łatwej dostępności, funkcjonalności oraz integracji z otoczeniem. Lokalizacje wybierane są strategicznie, aby zapewnić dostępność kluczowych usług przy jednoczesnym ograniczeniu wpływu na wrażliwe obszary przyrodnicze i kulturowe</w:t>
            </w:r>
            <w:r w:rsidR="00913BB8">
              <w:rPr>
                <w:rFonts w:cstheme="minorHAnsi"/>
                <w:kern w:val="2"/>
              </w:rPr>
              <w:t>.</w:t>
            </w:r>
          </w:p>
          <w:p w14:paraId="6321A060" w14:textId="77777777" w:rsidR="009268A7" w:rsidRPr="00362D50" w:rsidRDefault="006E0F1F" w:rsidP="00362D50">
            <w:pPr>
              <w:rPr>
                <w:rFonts w:cstheme="minorHAnsi"/>
              </w:rPr>
            </w:pPr>
            <w:r w:rsidRPr="00362D50">
              <w:rPr>
                <w:rFonts w:cstheme="minorHAnsi"/>
              </w:rPr>
              <w:t>Przyjęty kierunek interwencji projektu Koncepcji jest spójny z założeniami zawartymi</w:t>
            </w:r>
            <w:r w:rsidR="004E21FE" w:rsidRPr="00362D50">
              <w:rPr>
                <w:rFonts w:cstheme="minorHAnsi"/>
              </w:rPr>
              <w:t xml:space="preserve"> w Rezolucji i wspiera turystykę rowerową poprzez przyspieszenie rozwoju sieci </w:t>
            </w:r>
            <w:proofErr w:type="spellStart"/>
            <w:r w:rsidR="004E21FE" w:rsidRPr="00362D50">
              <w:rPr>
                <w:rFonts w:cstheme="minorHAnsi"/>
              </w:rPr>
              <w:t>EuroVelo</w:t>
            </w:r>
            <w:proofErr w:type="spellEnd"/>
            <w:r w:rsidR="004E21FE" w:rsidRPr="00362D50">
              <w:rPr>
                <w:rFonts w:cstheme="minorHAnsi"/>
              </w:rPr>
              <w:t xml:space="preserve"> i jej 17 tras.</w:t>
            </w:r>
          </w:p>
        </w:tc>
      </w:tr>
      <w:tr w:rsidR="00DC00C4" w:rsidRPr="001406A0" w14:paraId="1D9E6C81" w14:textId="77777777" w:rsidTr="007979AE">
        <w:tc>
          <w:tcPr>
            <w:tcW w:w="3211" w:type="dxa"/>
          </w:tcPr>
          <w:p w14:paraId="0A3ECA57" w14:textId="77777777" w:rsidR="00706B73" w:rsidRPr="00362D50" w:rsidRDefault="00706B73" w:rsidP="00362D50">
            <w:pPr>
              <w:autoSpaceDE w:val="0"/>
              <w:autoSpaceDN w:val="0"/>
              <w:adjustRightInd w:val="0"/>
              <w:rPr>
                <w:rFonts w:cstheme="minorHAnsi"/>
                <w:color w:val="000000"/>
              </w:rPr>
            </w:pPr>
            <w:r w:rsidRPr="00362D50">
              <w:rPr>
                <w:rFonts w:cstheme="minorHAnsi"/>
                <w:color w:val="000000"/>
              </w:rPr>
              <w:lastRenderedPageBreak/>
              <w:t>Strategia UE adaptacji do zmiany klimatu</w:t>
            </w:r>
          </w:p>
          <w:p w14:paraId="25E534AA" w14:textId="77777777" w:rsidR="00706B73" w:rsidRPr="00362D50" w:rsidRDefault="00706B73" w:rsidP="00362D50">
            <w:pPr>
              <w:autoSpaceDE w:val="0"/>
              <w:autoSpaceDN w:val="0"/>
              <w:adjustRightInd w:val="0"/>
              <w:rPr>
                <w:rFonts w:cstheme="minorHAnsi"/>
              </w:rPr>
            </w:pPr>
          </w:p>
        </w:tc>
        <w:tc>
          <w:tcPr>
            <w:tcW w:w="6282" w:type="dxa"/>
          </w:tcPr>
          <w:p w14:paraId="6522150E" w14:textId="77777777" w:rsidR="00706B73" w:rsidRPr="00362D50" w:rsidRDefault="00AE2852" w:rsidP="00362D50">
            <w:pPr>
              <w:rPr>
                <w:rFonts w:cstheme="minorHAnsi"/>
              </w:rPr>
            </w:pPr>
            <w:r w:rsidRPr="00362D50">
              <w:rPr>
                <w:rFonts w:cstheme="minorHAnsi"/>
              </w:rPr>
              <w:t>Dokument stanowi podstawę realizacji krajowych strategii adaptacyjnych państw Unii Europejskiej, w którym określone zostały priorytety polityki w aspekcie adaptacji do zmian klimatu. W dokumencie zwraca się uwagę na konieczność realizacji działań w następujących obszarach: zdrowie i polityka społeczna; różnorodność biologiczna, ekosystemy i gospodarka wodna; rolnictwo i leśnictwo; obszary przybrzeżne i morskie; infrastruktura. Zadaniem planowanych działań jest osiągnięcie zdolności adaptacyjnych, które umożliwią reagowanie na skutki zmian klimatu. W dokumencie wskazuje się ogólne ramy dotyczące zmniejszania wrażliwości na zmiany klimatu, nie precyzuje się konkretnych działań.</w:t>
            </w:r>
            <w:r w:rsidR="00E9304C" w:rsidRPr="00362D50">
              <w:rPr>
                <w:rFonts w:cstheme="minorHAnsi"/>
              </w:rPr>
              <w:t xml:space="preserve"> Celem dokumentu jest osiągnięcie w UE zdolności adaptacyjnych pozwalających na radzenie sobie ze skutkami zmian klimatu. Z uwagi na charakter dokumentu, </w:t>
            </w:r>
            <w:r w:rsidR="00E9304C" w:rsidRPr="00362D50">
              <w:rPr>
                <w:rFonts w:cstheme="minorHAnsi"/>
              </w:rPr>
              <w:lastRenderedPageBreak/>
              <w:t>wskazuje on ogólne ramy na rzecz zmniejszania wrażliwości na zmiany klimatu, nie odnosi się do konkretnych działań.</w:t>
            </w:r>
          </w:p>
        </w:tc>
        <w:tc>
          <w:tcPr>
            <w:tcW w:w="4501" w:type="dxa"/>
          </w:tcPr>
          <w:p w14:paraId="678E95DF" w14:textId="77777777" w:rsidR="002C597B" w:rsidRPr="00362D50" w:rsidRDefault="002C597B" w:rsidP="00362D50">
            <w:pPr>
              <w:rPr>
                <w:rFonts w:cstheme="minorHAnsi"/>
              </w:rPr>
            </w:pPr>
            <w:r w:rsidRPr="00362D50">
              <w:rPr>
                <w:rFonts w:cstheme="minorHAnsi"/>
              </w:rPr>
              <w:lastRenderedPageBreak/>
              <w:t xml:space="preserve">Projekt </w:t>
            </w:r>
            <w:r w:rsidR="001406A0" w:rsidRPr="00362D50">
              <w:rPr>
                <w:rFonts w:cstheme="minorHAnsi"/>
              </w:rPr>
              <w:t xml:space="preserve">Koncepcji </w:t>
            </w:r>
            <w:r w:rsidRPr="00362D50">
              <w:rPr>
                <w:rFonts w:cstheme="minorHAnsi"/>
              </w:rPr>
              <w:t>ma za</w:t>
            </w:r>
            <w:r w:rsidR="00E9304C" w:rsidRPr="00362D50">
              <w:rPr>
                <w:rFonts w:cstheme="minorHAnsi"/>
              </w:rPr>
              <w:t xml:space="preserve"> </w:t>
            </w:r>
            <w:r w:rsidRPr="00362D50">
              <w:rPr>
                <w:rFonts w:cstheme="minorHAnsi"/>
              </w:rPr>
              <w:t xml:space="preserve">zadanie, nie tylko wzmocnić lokalne gospodarki partnerów projektu, ale również promować idee zrównoważonego rozwoju i ochrony środowiska. </w:t>
            </w:r>
            <w:r w:rsidR="005B6080" w:rsidRPr="00362D50">
              <w:rPr>
                <w:rFonts w:cstheme="minorHAnsi"/>
              </w:rPr>
              <w:t>W</w:t>
            </w:r>
            <w:r w:rsidR="00B85C75" w:rsidRPr="00362D50">
              <w:rPr>
                <w:rFonts w:cstheme="minorHAnsi"/>
              </w:rPr>
              <w:t xml:space="preserve"> ramach </w:t>
            </w:r>
            <w:r w:rsidR="001406A0" w:rsidRPr="00362D50">
              <w:rPr>
                <w:rFonts w:cstheme="minorHAnsi"/>
              </w:rPr>
              <w:t xml:space="preserve">Koncepcji </w:t>
            </w:r>
            <w:r w:rsidR="00B85C75" w:rsidRPr="00362D50">
              <w:rPr>
                <w:rFonts w:cstheme="minorHAnsi"/>
              </w:rPr>
              <w:t>w</w:t>
            </w:r>
            <w:r w:rsidR="00E9304C" w:rsidRPr="00362D50">
              <w:rPr>
                <w:rFonts w:cstheme="minorHAnsi"/>
              </w:rPr>
              <w:t>spieran</w:t>
            </w:r>
            <w:r w:rsidR="00B85C75" w:rsidRPr="00362D50">
              <w:rPr>
                <w:rFonts w:cstheme="minorHAnsi"/>
              </w:rPr>
              <w:t>e są</w:t>
            </w:r>
            <w:r w:rsidR="00E9304C" w:rsidRPr="00362D50">
              <w:rPr>
                <w:rFonts w:cstheme="minorHAnsi"/>
              </w:rPr>
              <w:t xml:space="preserve"> instrument</w:t>
            </w:r>
            <w:r w:rsidR="005B6080" w:rsidRPr="00362D50">
              <w:rPr>
                <w:rFonts w:cstheme="minorHAnsi"/>
              </w:rPr>
              <w:t>y</w:t>
            </w:r>
            <w:r w:rsidR="00E9304C" w:rsidRPr="00362D50">
              <w:rPr>
                <w:rFonts w:cstheme="minorHAnsi"/>
              </w:rPr>
              <w:t xml:space="preserve"> planowania przestrzennego</w:t>
            </w:r>
            <w:r w:rsidR="00B85C75" w:rsidRPr="00362D50">
              <w:rPr>
                <w:rFonts w:cstheme="minorHAnsi"/>
              </w:rPr>
              <w:t xml:space="preserve"> </w:t>
            </w:r>
            <w:r w:rsidRPr="00362D50">
              <w:rPr>
                <w:rFonts w:cstheme="minorHAnsi"/>
              </w:rPr>
              <w:t>pozwalające na harmonijne wpisanie infrastruktury turystycznej w krajobraz regionu. Elementy projektu zostaną zaprojektowane tak, aby wspierać zrównoważoną turystykę i minimalizować jej wpływ na środowisko.</w:t>
            </w:r>
          </w:p>
          <w:p w14:paraId="64187968" w14:textId="77777777" w:rsidR="002C597B" w:rsidRPr="00362D50" w:rsidRDefault="002C597B" w:rsidP="00362D50">
            <w:pPr>
              <w:rPr>
                <w:rFonts w:cstheme="minorHAnsi"/>
              </w:rPr>
            </w:pPr>
            <w:r w:rsidRPr="00362D50">
              <w:rPr>
                <w:rFonts w:cstheme="minorHAnsi"/>
              </w:rPr>
              <w:t>Projekt będzie promował turystykę odpowiedzialną i edukacyjną, zachęcając do poznawania i ochrony unikalnych walorów przyrodniczych i krajobrazowych regionu</w:t>
            </w:r>
          </w:p>
          <w:p w14:paraId="19F66C1E" w14:textId="77777777" w:rsidR="00706B73" w:rsidRPr="00362D50" w:rsidRDefault="00AE2852" w:rsidP="00362D50">
            <w:pPr>
              <w:rPr>
                <w:rFonts w:cstheme="minorHAnsi"/>
              </w:rPr>
            </w:pPr>
            <w:r w:rsidRPr="00362D50">
              <w:rPr>
                <w:rFonts w:cstheme="minorHAnsi"/>
              </w:rPr>
              <w:lastRenderedPageBreak/>
              <w:t xml:space="preserve">Przyjęty kierunek działań w projekcie </w:t>
            </w:r>
            <w:r w:rsidR="006C3A0C" w:rsidRPr="00362D50">
              <w:rPr>
                <w:rFonts w:cstheme="minorHAnsi"/>
              </w:rPr>
              <w:t xml:space="preserve">Koncepcji </w:t>
            </w:r>
            <w:r w:rsidRPr="00362D50">
              <w:rPr>
                <w:rFonts w:cstheme="minorHAnsi"/>
              </w:rPr>
              <w:t>jest zgodny z założeniami analizowanego dokumentu.</w:t>
            </w:r>
          </w:p>
        </w:tc>
      </w:tr>
      <w:tr w:rsidR="00DC00C4" w:rsidRPr="001406A0" w14:paraId="0FC8B64C" w14:textId="77777777" w:rsidTr="007979AE">
        <w:tc>
          <w:tcPr>
            <w:tcW w:w="3211" w:type="dxa"/>
          </w:tcPr>
          <w:p w14:paraId="61B54DC7" w14:textId="77777777" w:rsidR="009268A7" w:rsidRPr="00362D50" w:rsidRDefault="009268A7" w:rsidP="00362D50">
            <w:pPr>
              <w:pStyle w:val="Teksttreci20"/>
              <w:shd w:val="clear" w:color="auto" w:fill="auto"/>
              <w:tabs>
                <w:tab w:val="left" w:pos="783"/>
              </w:tabs>
              <w:spacing w:before="0" w:after="0" w:line="240" w:lineRule="auto"/>
              <w:ind w:firstLine="0"/>
              <w:jc w:val="left"/>
              <w:rPr>
                <w:rFonts w:cstheme="minorHAnsi"/>
                <w:color w:val="000000"/>
              </w:rPr>
            </w:pPr>
            <w:r w:rsidRPr="00362D50">
              <w:rPr>
                <w:rFonts w:cstheme="minorHAnsi"/>
                <w:color w:val="000000"/>
              </w:rPr>
              <w:lastRenderedPageBreak/>
              <w:t>Dyrektywa Parlamentu Europejskiego i Rady 2001/42/WE z dnia 27 czerwca 2001 roku (Dz. Urz. WE L 197 z 21.07.2001) w sprawie oceny oddziaływania na środowisko niektórych planów i programów na środowisko.</w:t>
            </w:r>
          </w:p>
          <w:p w14:paraId="0375BEFC" w14:textId="77777777" w:rsidR="00706B73" w:rsidRPr="00362D50" w:rsidRDefault="00706B73" w:rsidP="00362D50">
            <w:pPr>
              <w:autoSpaceDE w:val="0"/>
              <w:autoSpaceDN w:val="0"/>
              <w:adjustRightInd w:val="0"/>
              <w:rPr>
                <w:rFonts w:cstheme="minorHAnsi"/>
              </w:rPr>
            </w:pPr>
          </w:p>
        </w:tc>
        <w:tc>
          <w:tcPr>
            <w:tcW w:w="6282" w:type="dxa"/>
          </w:tcPr>
          <w:p w14:paraId="572C8E68" w14:textId="77777777" w:rsidR="001F78B6" w:rsidRPr="00362D50" w:rsidRDefault="001F78B6" w:rsidP="00362D50">
            <w:pPr>
              <w:rPr>
                <w:rFonts w:cstheme="minorHAnsi"/>
                <w:color w:val="000000"/>
              </w:rPr>
            </w:pPr>
            <w:r w:rsidRPr="00362D50">
              <w:rPr>
                <w:rFonts w:cstheme="minorHAnsi"/>
                <w:color w:val="000000"/>
              </w:rPr>
              <w:t xml:space="preserve">Celem dyrektywy jest zapewnienie wysokiego poziomu ochrony środowiska i przyczynienie się do uwzględniania aspektów środowiskowych w przygotowaniu i przyjmowaniu planów i programów w celu wspierania stałego rozwoju. </w:t>
            </w:r>
          </w:p>
          <w:p w14:paraId="636002D9" w14:textId="77777777" w:rsidR="00DC4405" w:rsidRPr="00362D50" w:rsidRDefault="001F78B6" w:rsidP="00362D50">
            <w:pPr>
              <w:rPr>
                <w:rFonts w:cstheme="minorHAnsi"/>
                <w:color w:val="000000"/>
              </w:rPr>
            </w:pPr>
            <w:r w:rsidRPr="00362D50">
              <w:rPr>
                <w:rFonts w:cstheme="minorHAnsi"/>
                <w:color w:val="000000"/>
              </w:rPr>
              <w:t xml:space="preserve">Zgodnie z dyrektywą dla planów i programów, które ustalające ramy dla przyszłych inwestycji potencjalnie mogących powodować znaczący wpływ na środowisko, dokonywana jest ocena wpływu na środowisko. </w:t>
            </w:r>
          </w:p>
          <w:p w14:paraId="755A1B37" w14:textId="77777777" w:rsidR="001F78B6" w:rsidRPr="00362D50" w:rsidRDefault="001F78B6" w:rsidP="00362D50">
            <w:pPr>
              <w:rPr>
                <w:rFonts w:cstheme="minorHAnsi"/>
                <w:color w:val="000000"/>
              </w:rPr>
            </w:pPr>
            <w:r w:rsidRPr="00362D50">
              <w:rPr>
                <w:rFonts w:cstheme="minorHAnsi"/>
                <w:color w:val="000000"/>
              </w:rPr>
              <w:t xml:space="preserve">Zgodnie z dyrektywa wszystkie plany i programy, uznane za wymagające oceny zgodnie z dyrektywą Rady 92/43/EWG z dnia 21 maja 1992 r. w sprawie ochrony siedlisk przyrodniczych oraz dzikiej flory i fauny, mogą potencjalnie powodować znaczący wpływ na środowisko i powinny z reguły być poddawane ocenie wpływu na środowisko. </w:t>
            </w:r>
          </w:p>
          <w:p w14:paraId="1CD30BC3" w14:textId="77777777" w:rsidR="001F78B6" w:rsidRPr="00362D50" w:rsidRDefault="001F78B6" w:rsidP="00362D50">
            <w:pPr>
              <w:rPr>
                <w:rFonts w:cstheme="minorHAnsi"/>
                <w:color w:val="000000"/>
              </w:rPr>
            </w:pPr>
          </w:p>
          <w:p w14:paraId="6776F833" w14:textId="77777777" w:rsidR="001F78B6" w:rsidRPr="00362D50" w:rsidRDefault="001F78B6" w:rsidP="00362D50">
            <w:pPr>
              <w:rPr>
                <w:rFonts w:cstheme="minorHAnsi"/>
              </w:rPr>
            </w:pPr>
          </w:p>
        </w:tc>
        <w:tc>
          <w:tcPr>
            <w:tcW w:w="4501" w:type="dxa"/>
          </w:tcPr>
          <w:p w14:paraId="5A1CBDDA" w14:textId="77777777" w:rsidR="006E0F1F" w:rsidRPr="00362D50" w:rsidRDefault="006E0F1F" w:rsidP="00362D50">
            <w:pPr>
              <w:rPr>
                <w:rFonts w:cstheme="minorHAnsi"/>
                <w:kern w:val="2"/>
              </w:rPr>
            </w:pPr>
            <w:r w:rsidRPr="00362D50">
              <w:rPr>
                <w:rFonts w:cstheme="minorHAnsi"/>
              </w:rPr>
              <w:t xml:space="preserve">Projekt </w:t>
            </w:r>
            <w:r w:rsidR="001F78B6" w:rsidRPr="00362D50">
              <w:rPr>
                <w:rFonts w:cstheme="minorHAnsi"/>
              </w:rPr>
              <w:t xml:space="preserve">Koncepcji </w:t>
            </w:r>
            <w:r w:rsidRPr="00362D50">
              <w:rPr>
                <w:rFonts w:cstheme="minorHAnsi"/>
              </w:rPr>
              <w:t xml:space="preserve">zakłada </w:t>
            </w:r>
            <w:r w:rsidR="00480345" w:rsidRPr="00362D50">
              <w:rPr>
                <w:rFonts w:cstheme="minorHAnsi"/>
              </w:rPr>
              <w:t xml:space="preserve">m.in. </w:t>
            </w:r>
            <w:r w:rsidR="001F78B6" w:rsidRPr="00362D50">
              <w:rPr>
                <w:rFonts w:cstheme="minorHAnsi"/>
              </w:rPr>
              <w:t xml:space="preserve">realizację </w:t>
            </w:r>
            <w:r w:rsidR="00480345" w:rsidRPr="00362D50">
              <w:rPr>
                <w:rFonts w:cstheme="minorHAnsi"/>
                <w:kern w:val="2"/>
              </w:rPr>
              <w:t>miejsc obsługi rowerzystów z wiatami, stojakami na rowery, toaletami i stacjami ładowania rowerów elektrycznych. Zaplanowane są również do realizacji miejsca przyjazne kajakarzom, wraz z zapleczem socjalnym oraz miejsca obsługi kamperów wraz z infrastrukturą towarzyszącą.</w:t>
            </w:r>
          </w:p>
          <w:p w14:paraId="1BAC41AB" w14:textId="45A86E29" w:rsidR="001F78B6" w:rsidRPr="00362D50" w:rsidRDefault="00480345" w:rsidP="00362D50">
            <w:pPr>
              <w:rPr>
                <w:rFonts w:cstheme="minorHAnsi"/>
              </w:rPr>
            </w:pPr>
            <w:r w:rsidRPr="00362D50">
              <w:rPr>
                <w:rFonts w:cstheme="minorHAnsi"/>
                <w:kern w:val="2"/>
              </w:rPr>
              <w:t xml:space="preserve">Planowane trasy rowerowe wykorzystują w części istniejące drogi na wałach przeciwpowodziowych i drogach </w:t>
            </w:r>
            <w:proofErr w:type="spellStart"/>
            <w:r w:rsidRPr="00362D50">
              <w:rPr>
                <w:rFonts w:cstheme="minorHAnsi"/>
                <w:kern w:val="2"/>
              </w:rPr>
              <w:t>przywałowych</w:t>
            </w:r>
            <w:proofErr w:type="spellEnd"/>
            <w:r w:rsidRPr="00362D50">
              <w:rPr>
                <w:rFonts w:cstheme="minorHAnsi"/>
                <w:kern w:val="2"/>
              </w:rPr>
              <w:t>. Na odcinkach, poza wałami</w:t>
            </w:r>
            <w:r w:rsidR="0081782A">
              <w:rPr>
                <w:rFonts w:cstheme="minorHAnsi"/>
                <w:kern w:val="2"/>
              </w:rPr>
              <w:t xml:space="preserve"> </w:t>
            </w:r>
            <w:r w:rsidRPr="00362D50">
              <w:rPr>
                <w:rFonts w:cstheme="minorHAnsi"/>
                <w:kern w:val="2"/>
              </w:rPr>
              <w:t xml:space="preserve">przeciwpowodziowymi i drogami </w:t>
            </w:r>
            <w:proofErr w:type="spellStart"/>
            <w:r w:rsidRPr="00362D50">
              <w:rPr>
                <w:rFonts w:cstheme="minorHAnsi"/>
                <w:kern w:val="2"/>
              </w:rPr>
              <w:t>przywałowymi</w:t>
            </w:r>
            <w:proofErr w:type="spellEnd"/>
            <w:r w:rsidRPr="00362D50">
              <w:rPr>
                <w:rFonts w:cstheme="minorHAnsi"/>
                <w:kern w:val="2"/>
              </w:rPr>
              <w:t>, trasa została poprowadzona istniejącymi ścieżkami rowerowymi oraz drogami lokalnymi i wojewódzkimi. Tras rowerowa, kajakowa oraz i</w:t>
            </w:r>
            <w:r w:rsidR="001F78B6" w:rsidRPr="00362D50">
              <w:rPr>
                <w:rFonts w:cstheme="minorHAnsi"/>
              </w:rPr>
              <w:t xml:space="preserve">nwestycje realizowane w ramach Koncepcji w części znajdują się na obszarach chronionych, w tym na obszarach Natura2000, w związku z tym dla dokumentu opracowywana jest prognoza </w:t>
            </w:r>
            <w:r w:rsidRPr="00362D50">
              <w:rPr>
                <w:rFonts w:cstheme="minorHAnsi"/>
              </w:rPr>
              <w:t>oraz</w:t>
            </w:r>
            <w:r w:rsidR="001F78B6" w:rsidRPr="00362D50">
              <w:rPr>
                <w:rFonts w:cstheme="minorHAnsi"/>
              </w:rPr>
              <w:t xml:space="preserve"> przeprowadzana jest strategiczna ocena oddziaływania na środowisko.</w:t>
            </w:r>
          </w:p>
          <w:p w14:paraId="3A5FFF0F" w14:textId="77777777" w:rsidR="00B709E9" w:rsidRPr="00362D50" w:rsidRDefault="00480345" w:rsidP="00A26002">
            <w:pPr>
              <w:spacing w:before="240"/>
              <w:rPr>
                <w:rFonts w:cstheme="minorHAnsi"/>
              </w:rPr>
            </w:pPr>
            <w:r w:rsidRPr="00362D50">
              <w:rPr>
                <w:rFonts w:cstheme="minorHAnsi"/>
              </w:rPr>
              <w:t>Przeprowadzenie SOOŚ zgodnie z ustawą z dnia 3 października 2008 r. o udostępnianiu informacji o środowisku i jego ochronie, udziale społeczeństwa w ochronie środowiska oraz o ocenach oddziaływania na środowisko (</w:t>
            </w:r>
            <w:proofErr w:type="spellStart"/>
            <w:r w:rsidRPr="00362D50">
              <w:rPr>
                <w:rFonts w:cstheme="minorHAnsi"/>
              </w:rPr>
              <w:t>t.j</w:t>
            </w:r>
            <w:proofErr w:type="spellEnd"/>
            <w:r w:rsidRPr="00362D50">
              <w:rPr>
                <w:rFonts w:cstheme="minorHAnsi"/>
              </w:rPr>
              <w:t xml:space="preserve">. </w:t>
            </w:r>
            <w:r w:rsidRPr="00362D50">
              <w:rPr>
                <w:rFonts w:cstheme="minorHAnsi"/>
              </w:rPr>
              <w:lastRenderedPageBreak/>
              <w:t>Dz.U. 2024 r. poz. 834) dla Projektu "Blue Valley – Wiślanym Szlakiem" odpowiada wymaganiom Dyrektywy.</w:t>
            </w:r>
          </w:p>
        </w:tc>
      </w:tr>
    </w:tbl>
    <w:p w14:paraId="2003C90A" w14:textId="4C44443F" w:rsidR="00A26002" w:rsidRDefault="00A26002">
      <w:pPr>
        <w:rPr>
          <w:rFonts w:cstheme="minorHAnsi"/>
          <w:b/>
          <w:bCs/>
        </w:rPr>
      </w:pPr>
      <w:r>
        <w:rPr>
          <w:rFonts w:cstheme="minorHAnsi"/>
          <w:b/>
          <w:bCs/>
        </w:rPr>
        <w:lastRenderedPageBreak/>
        <w:br w:type="page"/>
      </w:r>
    </w:p>
    <w:p w14:paraId="50DC4D10" w14:textId="5FEA1288" w:rsidR="00A26002" w:rsidRDefault="00A26002" w:rsidP="00A26002">
      <w:pPr>
        <w:spacing w:line="240" w:lineRule="auto"/>
        <w:rPr>
          <w:rFonts w:cstheme="minorHAnsi"/>
          <w:b/>
          <w:bCs/>
        </w:rPr>
      </w:pPr>
      <w:r w:rsidRPr="00362D50">
        <w:rPr>
          <w:rFonts w:cstheme="minorHAnsi"/>
          <w:b/>
          <w:bCs/>
        </w:rPr>
        <w:lastRenderedPageBreak/>
        <w:t>Analiza zapisów, celów dokumentów na poziomie krajowym</w:t>
      </w:r>
    </w:p>
    <w:tbl>
      <w:tblPr>
        <w:tblStyle w:val="Tabela-Siatka"/>
        <w:tblW w:w="0" w:type="auto"/>
        <w:tblLook w:val="04A0" w:firstRow="1" w:lastRow="0" w:firstColumn="1" w:lastColumn="0" w:noHBand="0" w:noVBand="1"/>
        <w:tblCaption w:val="Analiza zapisów, celów dokumentów na poziomie krajowym"/>
      </w:tblPr>
      <w:tblGrid>
        <w:gridCol w:w="3211"/>
        <w:gridCol w:w="6282"/>
        <w:gridCol w:w="4501"/>
      </w:tblGrid>
      <w:tr w:rsidR="007979AE" w:rsidRPr="00AE30D3" w14:paraId="589EC0C6" w14:textId="77777777" w:rsidTr="00CC489F">
        <w:trPr>
          <w:tblHeader/>
        </w:trPr>
        <w:tc>
          <w:tcPr>
            <w:tcW w:w="3211" w:type="dxa"/>
          </w:tcPr>
          <w:p w14:paraId="5A895E98" w14:textId="77777777" w:rsidR="007979AE" w:rsidRPr="00362D50" w:rsidRDefault="007979AE" w:rsidP="00145C6D">
            <w:pPr>
              <w:pStyle w:val="Default"/>
              <w:rPr>
                <w:rFonts w:asciiTheme="minorHAnsi" w:hAnsiTheme="minorHAnsi" w:cstheme="minorHAnsi"/>
                <w:sz w:val="22"/>
                <w:szCs w:val="22"/>
              </w:rPr>
            </w:pPr>
            <w:r w:rsidRPr="00362D50">
              <w:rPr>
                <w:rFonts w:cstheme="minorHAnsi"/>
                <w:b/>
                <w:bCs/>
              </w:rPr>
              <w:t>Tytuł dokumentu</w:t>
            </w:r>
          </w:p>
        </w:tc>
        <w:tc>
          <w:tcPr>
            <w:tcW w:w="6282" w:type="dxa"/>
          </w:tcPr>
          <w:p w14:paraId="62FEC2DC" w14:textId="77777777" w:rsidR="007979AE" w:rsidRPr="00362D50" w:rsidRDefault="007979AE" w:rsidP="00145C6D">
            <w:pPr>
              <w:rPr>
                <w:rFonts w:cstheme="minorHAnsi"/>
                <w:bCs/>
                <w:color w:val="1B1B1B"/>
                <w:shd w:val="clear" w:color="auto" w:fill="FFFFFF"/>
              </w:rPr>
            </w:pPr>
            <w:r w:rsidRPr="00362D50">
              <w:rPr>
                <w:rFonts w:cstheme="minorHAnsi"/>
                <w:b/>
                <w:bCs/>
              </w:rPr>
              <w:t>Analiza zapisów, celów dokumentów na poziomie międzynarodowym/krajowym/regionalnym</w:t>
            </w:r>
          </w:p>
        </w:tc>
        <w:tc>
          <w:tcPr>
            <w:tcW w:w="4501" w:type="dxa"/>
          </w:tcPr>
          <w:p w14:paraId="6286635D" w14:textId="77777777" w:rsidR="007979AE" w:rsidRPr="00362D50" w:rsidRDefault="007979AE" w:rsidP="00145C6D">
            <w:pPr>
              <w:rPr>
                <w:rFonts w:cstheme="minorHAnsi"/>
              </w:rPr>
            </w:pPr>
            <w:r w:rsidRPr="00362D50">
              <w:rPr>
                <w:rFonts w:cstheme="minorHAnsi"/>
                <w:b/>
                <w:bCs/>
              </w:rPr>
              <w:t>Analiza powiązań ocenian</w:t>
            </w:r>
            <w:r>
              <w:rPr>
                <w:rFonts w:cstheme="minorHAnsi"/>
                <w:b/>
                <w:bCs/>
              </w:rPr>
              <w:t>ego</w:t>
            </w:r>
            <w:r w:rsidRPr="00362D50">
              <w:rPr>
                <w:rFonts w:cstheme="minorHAnsi"/>
                <w:b/>
                <w:bCs/>
              </w:rPr>
              <w:t xml:space="preserve"> projekt</w:t>
            </w:r>
            <w:r>
              <w:rPr>
                <w:rFonts w:cstheme="minorHAnsi"/>
                <w:b/>
                <w:bCs/>
              </w:rPr>
              <w:t>u Koncepcji z innymi dokumentami</w:t>
            </w:r>
          </w:p>
        </w:tc>
      </w:tr>
      <w:tr w:rsidR="007979AE" w:rsidRPr="00AE30D3" w14:paraId="73FEDE79" w14:textId="77777777" w:rsidTr="00145C6D">
        <w:tc>
          <w:tcPr>
            <w:tcW w:w="3211" w:type="dxa"/>
          </w:tcPr>
          <w:p w14:paraId="5D564B89" w14:textId="77777777" w:rsidR="007979AE" w:rsidRPr="00362D50" w:rsidRDefault="007979AE" w:rsidP="00145C6D">
            <w:pPr>
              <w:pStyle w:val="Default"/>
              <w:rPr>
                <w:rFonts w:asciiTheme="minorHAnsi" w:hAnsiTheme="minorHAnsi" w:cstheme="minorHAnsi"/>
                <w:sz w:val="22"/>
                <w:szCs w:val="22"/>
              </w:rPr>
            </w:pPr>
            <w:r w:rsidRPr="00362D50">
              <w:rPr>
                <w:rFonts w:asciiTheme="minorHAnsi" w:hAnsiTheme="minorHAnsi" w:cstheme="minorHAnsi"/>
                <w:sz w:val="22"/>
                <w:szCs w:val="22"/>
              </w:rPr>
              <w:t>Krajowa Strategia Rozwoju Regionalnego 2030</w:t>
            </w:r>
          </w:p>
        </w:tc>
        <w:tc>
          <w:tcPr>
            <w:tcW w:w="6282" w:type="dxa"/>
          </w:tcPr>
          <w:p w14:paraId="529CBE48" w14:textId="77777777" w:rsidR="007979AE" w:rsidRPr="00362D50" w:rsidRDefault="007979AE" w:rsidP="00145C6D">
            <w:pPr>
              <w:rPr>
                <w:rFonts w:cstheme="minorHAnsi"/>
                <w:color w:val="1B1B1B"/>
                <w:shd w:val="clear" w:color="auto" w:fill="FFFFFF"/>
              </w:rPr>
            </w:pPr>
            <w:r w:rsidRPr="00362D50">
              <w:rPr>
                <w:rFonts w:cstheme="minorHAnsi"/>
                <w:bCs/>
                <w:color w:val="1B1B1B"/>
                <w:shd w:val="clear" w:color="auto" w:fill="FFFFFF"/>
              </w:rPr>
              <w:t xml:space="preserve">KSRR 2030 to podstawowy dokument strategiczny polityki regionalnej państwa. </w:t>
            </w:r>
            <w:r w:rsidRPr="00362D50">
              <w:rPr>
                <w:rFonts w:cstheme="minorHAnsi"/>
                <w:color w:val="1B1B1B"/>
                <w:shd w:val="clear" w:color="auto" w:fill="FFFFFF"/>
              </w:rPr>
              <w:t xml:space="preserve">Przewidziano w nim rozwój kraju, jako społecznie i terytorialnie zrównoważony, dzięki któremu efektywnie będą rozwijane oraz wykorzystywane miejscowe zasoby i potencjały wszystkich regionów. Celem takiego modelu jest wspomaganie w szczególności obszarów, które nie mogą w pełni rozwinąć swojego potencjału rozwojowego. </w:t>
            </w:r>
          </w:p>
          <w:p w14:paraId="623C9F21" w14:textId="77777777" w:rsidR="007979AE" w:rsidRPr="00362D50" w:rsidRDefault="007979AE" w:rsidP="00145C6D">
            <w:pPr>
              <w:numPr>
                <w:ilvl w:val="0"/>
                <w:numId w:val="11"/>
              </w:numPr>
              <w:shd w:val="clear" w:color="auto" w:fill="FFFFFF"/>
              <w:ind w:left="0"/>
              <w:textAlignment w:val="baseline"/>
              <w:rPr>
                <w:rFonts w:eastAsia="Times New Roman" w:cstheme="minorHAnsi"/>
                <w:color w:val="1B1B1B"/>
                <w:lang w:eastAsia="pl-PL"/>
              </w:rPr>
            </w:pPr>
            <w:r w:rsidRPr="00362D50">
              <w:rPr>
                <w:rFonts w:eastAsia="Times New Roman" w:cstheme="minorHAnsi"/>
                <w:color w:val="1B1B1B"/>
                <w:lang w:eastAsia="pl-PL"/>
              </w:rPr>
              <w:t>Jednym z celów KSRR2030 jest zapewnienie większej spójności rozwojowej Polski przez wsparcie obszarów słabszych gospodarczo. W dokumencie wskazano </w:t>
            </w:r>
            <w:r w:rsidRPr="00362D50">
              <w:rPr>
                <w:rFonts w:eastAsia="Times New Roman" w:cstheme="minorHAnsi"/>
                <w:i/>
                <w:iCs/>
                <w:color w:val="1B1B1B"/>
                <w:lang w:eastAsia="pl-PL"/>
              </w:rPr>
              <w:t>obszary strategicznej interwencji</w:t>
            </w:r>
            <w:r w:rsidRPr="00362D50">
              <w:rPr>
                <w:rFonts w:eastAsia="Times New Roman" w:cstheme="minorHAnsi"/>
                <w:color w:val="1B1B1B"/>
                <w:lang w:eastAsia="pl-PL"/>
              </w:rPr>
              <w:t xml:space="preserve"> (OSI), które  otrzymają szczególne wsparcie (będą to obszary zagrożone trwałą marginalizacją, miasta średnie tracące funkcje społeczno-gospodarcze, Śląsk i tereny Polski wschodniej). </w:t>
            </w:r>
            <w:r w:rsidRPr="00362D50">
              <w:rPr>
                <w:rFonts w:cstheme="minorHAnsi"/>
                <w:color w:val="1B1B1B"/>
                <w:shd w:val="clear" w:color="auto" w:fill="FFFFFF"/>
              </w:rPr>
              <w:t>W dokumencie przewidziano zwiększenie roli i odpowiedzialności samorządów lokalnych jako podmiotów decydujących o polityce rozwoju w skali lokalnej. Strategia tworzy warunki do większego angażowania się samorządów gminnych i powiatowych w realizację wspólnych projektów i we współpracę ponad granicami administracyjnymi</w:t>
            </w:r>
          </w:p>
          <w:p w14:paraId="4AB1A00F" w14:textId="77777777" w:rsidR="007979AE" w:rsidRPr="00362D50" w:rsidRDefault="007979AE" w:rsidP="00145C6D">
            <w:pPr>
              <w:rPr>
                <w:rFonts w:cstheme="minorHAnsi"/>
              </w:rPr>
            </w:pPr>
            <w:r w:rsidRPr="00362D50">
              <w:rPr>
                <w:rFonts w:cstheme="minorHAnsi"/>
              </w:rPr>
              <w:t xml:space="preserve">KSRR 2030 dla regionu wschodniego (do którego należy woj. podkarpackie), wśród potencjału do wykorzystania wskazano duże bogactwo przyrodnicze, które może stanowić jeden z czynników rozwoju tego regionu. Wskazano że dostępne usługi ekosystemowe (np. czyste powietrze, możliwość spędzania wolnego czasu w otoczeniu przyrody, potencjał turystyczny, korzystne warunki do produkcji żywności wysokiej jakości, dostęp do roślin leczniczych itp.) podnoszą atrakcyjność tego obszaru dla potencjalnych inwestorów. </w:t>
            </w:r>
            <w:r w:rsidRPr="00362D50">
              <w:rPr>
                <w:rFonts w:eastAsia="Times New Roman" w:cstheme="minorHAnsi"/>
                <w:color w:val="1B1B1B"/>
                <w:lang w:eastAsia="pl-PL"/>
              </w:rPr>
              <w:t xml:space="preserve">KSRR2030, jako jeden z kierunków wsparcia, wskazuje promowanie </w:t>
            </w:r>
            <w:r w:rsidRPr="00362D50">
              <w:rPr>
                <w:rFonts w:cstheme="minorHAnsi"/>
              </w:rPr>
              <w:t xml:space="preserve">działań na rzecz obszarów o wysokich walorach przyrodniczych i krajobrazowych, jak też opartych o potencjał uzdrowiskowy i walory kulturowe stanowiące o ich wysokiej </w:t>
            </w:r>
            <w:r w:rsidRPr="00362D50">
              <w:rPr>
                <w:rFonts w:cstheme="minorHAnsi"/>
              </w:rPr>
              <w:lastRenderedPageBreak/>
              <w:t>atrakcyjności turystycznej, m.in. na potrzeby srebrnej turystki oraz tworzenie oferty turystycznej, kulturalnej bazującej na walorach regionu.</w:t>
            </w:r>
          </w:p>
          <w:p w14:paraId="1B564EF2" w14:textId="77777777" w:rsidR="007979AE" w:rsidRPr="00362D50" w:rsidRDefault="007979AE" w:rsidP="00145C6D">
            <w:pPr>
              <w:rPr>
                <w:rFonts w:cstheme="minorHAnsi"/>
              </w:rPr>
            </w:pPr>
            <w:r w:rsidRPr="00362D50">
              <w:rPr>
                <w:rFonts w:cstheme="minorHAnsi"/>
              </w:rPr>
              <w:t xml:space="preserve">Kierunek wsparcia dotyczy również działań na rzecz promocji turystycznej mającej na celu wzrost atrakcyjności turystycznej obszarów o wysokich walorach kulturowych, przyrodniczych i krajobrazowych. </w:t>
            </w:r>
          </w:p>
        </w:tc>
        <w:tc>
          <w:tcPr>
            <w:tcW w:w="4501" w:type="dxa"/>
          </w:tcPr>
          <w:p w14:paraId="591F582E" w14:textId="77777777" w:rsidR="007979AE" w:rsidRPr="00362D50" w:rsidRDefault="007979AE" w:rsidP="00145C6D">
            <w:pPr>
              <w:rPr>
                <w:rFonts w:cstheme="minorHAnsi"/>
              </w:rPr>
            </w:pPr>
            <w:r w:rsidRPr="00362D50">
              <w:rPr>
                <w:rFonts w:cstheme="minorHAnsi"/>
              </w:rPr>
              <w:lastRenderedPageBreak/>
              <w:t xml:space="preserve">Projekt Koncepcji promuje turystykę odpowiedzialną i edukacyjną, zachęcając do poznawania i ochrony unikalnych walorów przyrodniczych i krajobrazowych regionu. W ramach zadań planuje się rozbudowę infrastruktury turystycznej realizowaną z pełnym poszanowaniem dla przyrody, zwłaszcza w kontekście obszarów chronionych w ramach sieci Natura 2000. </w:t>
            </w:r>
          </w:p>
          <w:p w14:paraId="2286B461" w14:textId="77777777" w:rsidR="007979AE" w:rsidRPr="00362D50" w:rsidRDefault="007979AE" w:rsidP="00145C6D">
            <w:pPr>
              <w:rPr>
                <w:rFonts w:cstheme="minorHAnsi"/>
              </w:rPr>
            </w:pPr>
            <w:r w:rsidRPr="00362D50">
              <w:rPr>
                <w:rFonts w:cstheme="minorHAnsi"/>
              </w:rPr>
              <w:t>Projekt kształtuje wzorce społeczne oraz dzięki wspólnym wysiłkom regionów, może stać się modelem dla innych inicjatyw turystycznych, demonstrując jak przez współpracę można osiągnąć synergię przynoszącą korzyści dla wszystkich stron.</w:t>
            </w:r>
          </w:p>
          <w:p w14:paraId="24C2B4A6" w14:textId="77777777" w:rsidR="007979AE" w:rsidRPr="00362D50" w:rsidRDefault="007979AE" w:rsidP="00145C6D">
            <w:pPr>
              <w:rPr>
                <w:rFonts w:cstheme="minorHAnsi"/>
              </w:rPr>
            </w:pPr>
            <w:r w:rsidRPr="00362D50">
              <w:rPr>
                <w:rFonts w:cstheme="minorHAnsi"/>
              </w:rPr>
              <w:t xml:space="preserve">Projekt Koncepcji realizowany na obszarze woj. podkarpackiego wpisuje się w kierunki wsparcia KSRR2030, które wskazują na konieczność </w:t>
            </w:r>
            <w:r w:rsidRPr="00362D50">
              <w:rPr>
                <w:rFonts w:eastAsia="Times New Roman" w:cstheme="minorHAnsi"/>
                <w:color w:val="1B1B1B"/>
                <w:lang w:eastAsia="pl-PL"/>
              </w:rPr>
              <w:t xml:space="preserve">promowania </w:t>
            </w:r>
            <w:r w:rsidRPr="00362D50">
              <w:rPr>
                <w:rFonts w:cstheme="minorHAnsi"/>
              </w:rPr>
              <w:t>działań na rzecz obszarów o wysokich walorach przyrodniczych i krajobrazowych.</w:t>
            </w:r>
          </w:p>
          <w:p w14:paraId="5C98FBC0" w14:textId="77777777" w:rsidR="007979AE" w:rsidRPr="00362D50" w:rsidRDefault="007979AE" w:rsidP="00145C6D">
            <w:pPr>
              <w:rPr>
                <w:rFonts w:cstheme="minorHAnsi"/>
              </w:rPr>
            </w:pPr>
            <w:r w:rsidRPr="00362D50">
              <w:rPr>
                <w:rFonts w:cstheme="minorHAnsi"/>
              </w:rPr>
              <w:t xml:space="preserve">Przyjęty kierunek interwencji projektu Koncepcji jest spójny z założeniami zawartymi w KSRR2030 i stanowi jeden z elementów działań na rzecz promocji turystycznej mającej na celu wzrost atrakcyjności turystycznej obszaru woj. podkarpackiego. </w:t>
            </w:r>
          </w:p>
        </w:tc>
      </w:tr>
      <w:tr w:rsidR="007979AE" w:rsidRPr="001406A0" w14:paraId="75D42B6A" w14:textId="77777777" w:rsidTr="00145C6D">
        <w:tc>
          <w:tcPr>
            <w:tcW w:w="3211" w:type="dxa"/>
          </w:tcPr>
          <w:p w14:paraId="13A9AD1D" w14:textId="77777777" w:rsidR="007979AE" w:rsidRPr="00362D50" w:rsidRDefault="007979AE" w:rsidP="00145C6D">
            <w:pPr>
              <w:pStyle w:val="Default"/>
              <w:rPr>
                <w:rFonts w:asciiTheme="minorHAnsi" w:hAnsiTheme="minorHAnsi" w:cstheme="minorHAnsi"/>
                <w:sz w:val="22"/>
                <w:szCs w:val="22"/>
              </w:rPr>
            </w:pPr>
            <w:r w:rsidRPr="00362D50">
              <w:rPr>
                <w:rFonts w:asciiTheme="minorHAnsi" w:hAnsiTheme="minorHAnsi" w:cstheme="minorHAnsi"/>
                <w:sz w:val="22"/>
                <w:szCs w:val="22"/>
              </w:rPr>
              <w:t xml:space="preserve">Strategia zrównoważonego rozwoju transportu do 2030 r. (SRT2030) </w:t>
            </w:r>
          </w:p>
          <w:p w14:paraId="6F62ED66" w14:textId="77777777" w:rsidR="007979AE" w:rsidRPr="00362D50" w:rsidRDefault="007979AE" w:rsidP="00145C6D">
            <w:pPr>
              <w:pStyle w:val="Default"/>
              <w:ind w:left="360"/>
              <w:rPr>
                <w:rFonts w:asciiTheme="minorHAnsi" w:hAnsiTheme="minorHAnsi" w:cstheme="minorHAnsi"/>
                <w:sz w:val="22"/>
                <w:szCs w:val="22"/>
              </w:rPr>
            </w:pPr>
          </w:p>
        </w:tc>
        <w:tc>
          <w:tcPr>
            <w:tcW w:w="6282" w:type="dxa"/>
          </w:tcPr>
          <w:p w14:paraId="413A6747" w14:textId="77777777" w:rsidR="007979AE" w:rsidRPr="00362D50" w:rsidRDefault="007979AE" w:rsidP="00145C6D">
            <w:pPr>
              <w:rPr>
                <w:rFonts w:cstheme="minorHAnsi"/>
              </w:rPr>
            </w:pPr>
            <w:r w:rsidRPr="00362D50">
              <w:rPr>
                <w:rFonts w:cstheme="minorHAnsi"/>
              </w:rPr>
              <w:t xml:space="preserve">Cel główny Strategii Zrównoważonego Rozwoju Transportu do 2030 r. stanowi zwiększenie dostępności transportowej oraz poprawa bezpieczeństwa uczestników ruchu i efektywności sektora transportowego poprzez tworzenie spójnego, zrównoważonego, innowacyjnego i przyjaznego użytkownikowi systemu transportowego w wymiarze krajowym, europejskim i globalnym. Cel główny doprecyzowują kierunki interwencji, właściwe dla każdej z gałęzi transportu: </w:t>
            </w:r>
          </w:p>
          <w:p w14:paraId="7898E721" w14:textId="77777777" w:rsidR="007979AE" w:rsidRPr="00362D50" w:rsidRDefault="007979AE" w:rsidP="00145C6D">
            <w:pPr>
              <w:pStyle w:val="Akapitzlist"/>
              <w:numPr>
                <w:ilvl w:val="0"/>
                <w:numId w:val="1"/>
              </w:numPr>
              <w:ind w:left="360"/>
              <w:rPr>
                <w:rFonts w:cstheme="minorHAnsi"/>
              </w:rPr>
            </w:pPr>
            <w:r w:rsidRPr="00362D50">
              <w:rPr>
                <w:rFonts w:cstheme="minorHAnsi"/>
              </w:rPr>
              <w:t xml:space="preserve">kierunek interwencji 1: budowa zintegrowanej, wzajemnie powiązanej sieci transportowej służącej konkurencyjnej gospodarce; </w:t>
            </w:r>
          </w:p>
          <w:p w14:paraId="1CE7E31D" w14:textId="77777777" w:rsidR="007979AE" w:rsidRPr="00362D50" w:rsidRDefault="007979AE" w:rsidP="00145C6D">
            <w:pPr>
              <w:pStyle w:val="Akapitzlist"/>
              <w:numPr>
                <w:ilvl w:val="0"/>
                <w:numId w:val="1"/>
              </w:numPr>
              <w:ind w:left="360"/>
              <w:rPr>
                <w:rFonts w:cstheme="minorHAnsi"/>
              </w:rPr>
            </w:pPr>
            <w:r w:rsidRPr="00362D50">
              <w:rPr>
                <w:rFonts w:cstheme="minorHAnsi"/>
              </w:rPr>
              <w:t xml:space="preserve">kierunek interwencji 2: poprawa sposobu organizacji i zarządzania systemem transportowym; </w:t>
            </w:r>
          </w:p>
          <w:p w14:paraId="07008869" w14:textId="77777777" w:rsidR="007979AE" w:rsidRPr="00362D50" w:rsidRDefault="007979AE" w:rsidP="00145C6D">
            <w:pPr>
              <w:pStyle w:val="Akapitzlist"/>
              <w:numPr>
                <w:ilvl w:val="0"/>
                <w:numId w:val="1"/>
              </w:numPr>
              <w:ind w:left="360"/>
              <w:rPr>
                <w:rFonts w:cstheme="minorHAnsi"/>
              </w:rPr>
            </w:pPr>
            <w:r w:rsidRPr="00362D50">
              <w:rPr>
                <w:rFonts w:cstheme="minorHAnsi"/>
              </w:rPr>
              <w:t xml:space="preserve">kierunek interwencji 3: zmiany w indywidualnej i zbiorowej mobilności; </w:t>
            </w:r>
          </w:p>
          <w:p w14:paraId="3A7DD273" w14:textId="77777777" w:rsidR="007979AE" w:rsidRPr="00362D50" w:rsidRDefault="007979AE" w:rsidP="00145C6D">
            <w:pPr>
              <w:pStyle w:val="Akapitzlist"/>
              <w:numPr>
                <w:ilvl w:val="0"/>
                <w:numId w:val="1"/>
              </w:numPr>
              <w:ind w:left="360"/>
              <w:rPr>
                <w:rFonts w:cstheme="minorHAnsi"/>
              </w:rPr>
            </w:pPr>
            <w:r w:rsidRPr="00362D50">
              <w:rPr>
                <w:rFonts w:cstheme="minorHAnsi"/>
              </w:rPr>
              <w:t xml:space="preserve">kierunek interwencji 4: poprawa bezpieczeństwa uczestników ruchu oraz przewożonych towarów; </w:t>
            </w:r>
          </w:p>
          <w:p w14:paraId="07FF695C" w14:textId="77777777" w:rsidR="007979AE" w:rsidRPr="00362D50" w:rsidRDefault="007979AE" w:rsidP="00145C6D">
            <w:pPr>
              <w:pStyle w:val="Akapitzlist"/>
              <w:numPr>
                <w:ilvl w:val="0"/>
                <w:numId w:val="1"/>
              </w:numPr>
              <w:ind w:left="360"/>
              <w:rPr>
                <w:rFonts w:cstheme="minorHAnsi"/>
              </w:rPr>
            </w:pPr>
            <w:r w:rsidRPr="00362D50">
              <w:rPr>
                <w:rFonts w:cstheme="minorHAnsi"/>
              </w:rPr>
              <w:t xml:space="preserve">kierunek interwencji 5: ograniczanie negatywnego wpływu transportu na środowisko; </w:t>
            </w:r>
          </w:p>
          <w:p w14:paraId="6C79B141" w14:textId="77777777" w:rsidR="007979AE" w:rsidRPr="00362D50" w:rsidRDefault="007979AE" w:rsidP="00145C6D">
            <w:pPr>
              <w:pStyle w:val="Akapitzlist"/>
              <w:numPr>
                <w:ilvl w:val="0"/>
                <w:numId w:val="6"/>
              </w:numPr>
              <w:ind w:left="360"/>
              <w:rPr>
                <w:rFonts w:cstheme="minorHAnsi"/>
              </w:rPr>
            </w:pPr>
            <w:r w:rsidRPr="00362D50">
              <w:rPr>
                <w:rFonts w:cstheme="minorHAnsi"/>
              </w:rPr>
              <w:t>kierunek interwencji 6: poprawa efektywności wykorzystania publicznych środków na przedsięwzięcia transportowe.</w:t>
            </w:r>
          </w:p>
          <w:p w14:paraId="13920BB8" w14:textId="77777777" w:rsidR="007979AE" w:rsidRPr="00362D50" w:rsidRDefault="007979AE" w:rsidP="00145C6D">
            <w:pPr>
              <w:pStyle w:val="Akapitzlist"/>
              <w:ind w:left="0"/>
              <w:rPr>
                <w:rFonts w:cstheme="minorHAnsi"/>
              </w:rPr>
            </w:pPr>
            <w:r w:rsidRPr="00362D50">
              <w:rPr>
                <w:rFonts w:cstheme="minorHAnsi"/>
              </w:rPr>
              <w:t xml:space="preserve">SRT2030 wyznacza cele poszczególnych strategii rozwoju województw w zakresie transportu, dla których ważnym kierunkiem jest poprawa dostępności transportowej w wymiarze </w:t>
            </w:r>
            <w:r w:rsidRPr="00362D50">
              <w:rPr>
                <w:rFonts w:cstheme="minorHAnsi"/>
              </w:rPr>
              <w:lastRenderedPageBreak/>
              <w:t xml:space="preserve">regionalnym i lokalnym. Wspieranie lokalnej mobilności ma silny wpływ na miejscową gospodarkę, dziedzictwo kulturowe, spójność terytorialną, a także integrację społeczną i ochronę środowiska. </w:t>
            </w:r>
          </w:p>
        </w:tc>
        <w:tc>
          <w:tcPr>
            <w:tcW w:w="4501" w:type="dxa"/>
          </w:tcPr>
          <w:p w14:paraId="64D8441E" w14:textId="77777777" w:rsidR="007979AE" w:rsidRPr="00362D50" w:rsidRDefault="007979AE" w:rsidP="00145C6D">
            <w:pPr>
              <w:rPr>
                <w:rFonts w:cstheme="minorHAnsi"/>
              </w:rPr>
            </w:pPr>
            <w:r w:rsidRPr="00362D50">
              <w:rPr>
                <w:rFonts w:cstheme="minorHAnsi"/>
              </w:rPr>
              <w:lastRenderedPageBreak/>
              <w:t>Projekt koncepcji określa cele i działania, które sprzyjać będą osiąganiu wyznaczonych w SRT2030 kierunków interwencji.</w:t>
            </w:r>
          </w:p>
          <w:p w14:paraId="57BA2E87" w14:textId="77777777" w:rsidR="007979AE" w:rsidRPr="00362D50" w:rsidRDefault="007979AE" w:rsidP="00145C6D">
            <w:pPr>
              <w:rPr>
                <w:rFonts w:cstheme="minorHAnsi"/>
              </w:rPr>
            </w:pPr>
            <w:r w:rsidRPr="00362D50">
              <w:rPr>
                <w:rFonts w:cstheme="minorHAnsi"/>
              </w:rPr>
              <w:t xml:space="preserve">Realizacji celów strategii sprzyja prowadzona przez samorządy rozbudowa szlaków, będących odcinkami tras dla rowerzystów, spełniającymi odpowiednie kryteria, oznaczonymi specjalnymi znakami, których przebieg prowadzi m.in. </w:t>
            </w:r>
            <w:r>
              <w:rPr>
                <w:rFonts w:cstheme="minorHAnsi"/>
              </w:rPr>
              <w:t xml:space="preserve">drogami </w:t>
            </w:r>
            <w:proofErr w:type="spellStart"/>
            <w:r>
              <w:rPr>
                <w:rFonts w:cstheme="minorHAnsi"/>
              </w:rPr>
              <w:t>przywałowymi</w:t>
            </w:r>
            <w:proofErr w:type="spellEnd"/>
            <w:r>
              <w:rPr>
                <w:rFonts w:cstheme="minorHAnsi"/>
              </w:rPr>
              <w:t xml:space="preserve"> oraz </w:t>
            </w:r>
            <w:r w:rsidRPr="00362D50">
              <w:rPr>
                <w:rFonts w:cstheme="minorHAnsi"/>
              </w:rPr>
              <w:t>istniejącymi drogami publicznymi.</w:t>
            </w:r>
          </w:p>
          <w:p w14:paraId="1C97E602" w14:textId="77777777" w:rsidR="007979AE" w:rsidRPr="00362D50" w:rsidRDefault="007979AE" w:rsidP="00145C6D">
            <w:pPr>
              <w:rPr>
                <w:rFonts w:cstheme="minorHAnsi"/>
              </w:rPr>
            </w:pPr>
            <w:r w:rsidRPr="00362D50">
              <w:rPr>
                <w:rFonts w:cstheme="minorHAnsi"/>
              </w:rPr>
              <w:t xml:space="preserve">Projekt Koncepcji sprzyja integracji przestrzennej i funkcjonalnej różnych form transportu. Projekt Koncepcji stawia na równouprawnienie w traktowaniu ruchu rowerowego, kajakowego oraz </w:t>
            </w:r>
            <w:proofErr w:type="spellStart"/>
            <w:r w:rsidRPr="00362D50">
              <w:rPr>
                <w:rFonts w:cstheme="minorHAnsi"/>
              </w:rPr>
              <w:t>kamperowego</w:t>
            </w:r>
            <w:proofErr w:type="spellEnd"/>
            <w:r w:rsidRPr="00362D50">
              <w:rPr>
                <w:rFonts w:cstheme="minorHAnsi"/>
              </w:rPr>
              <w:t xml:space="preserve"> obok innych sposobów przemieszczania się.</w:t>
            </w:r>
          </w:p>
          <w:p w14:paraId="0A5FA2F6" w14:textId="77777777" w:rsidR="007979AE" w:rsidRPr="00362D50" w:rsidRDefault="007979AE" w:rsidP="00145C6D">
            <w:pPr>
              <w:rPr>
                <w:rFonts w:cstheme="minorHAnsi"/>
              </w:rPr>
            </w:pPr>
            <w:r w:rsidRPr="00362D50">
              <w:rPr>
                <w:rFonts w:cstheme="minorHAnsi"/>
              </w:rPr>
              <w:t xml:space="preserve">Jednocześnie rozwijająca się turystyka rowerowa czy kajakowa determinuje wyznaczanie przestrzeni przyjaznych turystom, co wpływa bezpośrednio na poprawę bezpieczeństwa uczestników ruchu. Propagowanie aktywnej turystyki wpływa na zmiany nawyków społecznych, a tym samym </w:t>
            </w:r>
            <w:r w:rsidRPr="00362D50">
              <w:rPr>
                <w:rFonts w:cstheme="minorHAnsi"/>
              </w:rPr>
              <w:lastRenderedPageBreak/>
              <w:t xml:space="preserve">przynosi pozytywne zmiany w indywidualnej i zbiorowej mobilności mieszkańców. </w:t>
            </w:r>
          </w:p>
          <w:p w14:paraId="11FB6EBE" w14:textId="77777777" w:rsidR="007979AE" w:rsidRPr="00362D50" w:rsidRDefault="007979AE" w:rsidP="00145C6D">
            <w:pPr>
              <w:rPr>
                <w:rFonts w:cstheme="minorHAnsi"/>
              </w:rPr>
            </w:pPr>
            <w:r w:rsidRPr="00362D50">
              <w:rPr>
                <w:rFonts w:cstheme="minorHAnsi"/>
              </w:rPr>
              <w:t>Przyjęty kierunek projektu Koncepcji jest spójny z założeniami zawartymi w SRT2030 i pozytywnie wpływa na realizacje jej celów.</w:t>
            </w:r>
          </w:p>
        </w:tc>
      </w:tr>
      <w:tr w:rsidR="007979AE" w:rsidRPr="00730717" w14:paraId="4289BDBA" w14:textId="77777777" w:rsidTr="00145C6D">
        <w:tc>
          <w:tcPr>
            <w:tcW w:w="3211" w:type="dxa"/>
          </w:tcPr>
          <w:p w14:paraId="67926AC8" w14:textId="77777777" w:rsidR="007979AE" w:rsidRPr="00362D50" w:rsidRDefault="007979AE" w:rsidP="00145C6D">
            <w:pPr>
              <w:rPr>
                <w:rFonts w:cstheme="minorHAnsi"/>
              </w:rPr>
            </w:pPr>
            <w:r w:rsidRPr="00362D50">
              <w:rPr>
                <w:rFonts w:cstheme="minorHAnsi"/>
              </w:rPr>
              <w:lastRenderedPageBreak/>
              <w:t xml:space="preserve">Polityka ekologiczna państwa 2030 </w:t>
            </w:r>
          </w:p>
          <w:p w14:paraId="77175C6F" w14:textId="77777777" w:rsidR="007979AE" w:rsidRPr="00362D50" w:rsidRDefault="007979AE" w:rsidP="00145C6D">
            <w:pPr>
              <w:autoSpaceDE w:val="0"/>
              <w:autoSpaceDN w:val="0"/>
              <w:adjustRightInd w:val="0"/>
              <w:ind w:left="360"/>
              <w:rPr>
                <w:rFonts w:cstheme="minorHAnsi"/>
                <w:color w:val="000000"/>
              </w:rPr>
            </w:pPr>
          </w:p>
        </w:tc>
        <w:tc>
          <w:tcPr>
            <w:tcW w:w="6282" w:type="dxa"/>
          </w:tcPr>
          <w:p w14:paraId="56421019" w14:textId="77777777" w:rsidR="007979AE" w:rsidRPr="00362D50" w:rsidRDefault="007979AE" w:rsidP="00145C6D">
            <w:pPr>
              <w:rPr>
                <w:rFonts w:cstheme="minorHAnsi"/>
              </w:rPr>
            </w:pPr>
            <w:r w:rsidRPr="00362D50">
              <w:rPr>
                <w:rFonts w:cstheme="minorHAnsi"/>
              </w:rPr>
              <w:t xml:space="preserve">Zadaniem Polityki ekologicznej Państwa 2030 (PEP 2030) jest zapewnienie bezpieczeństwa ekologicznego kraju. </w:t>
            </w:r>
            <w:r w:rsidRPr="00362D50">
              <w:rPr>
                <w:rFonts w:cstheme="minorHAnsi"/>
                <w:color w:val="1B1B1B"/>
                <w:shd w:val="clear" w:color="auto" w:fill="FFFFFF"/>
              </w:rPr>
              <w:t xml:space="preserve">Wskazane w PEP2030 cele szczegółowe dotyczą zdrowia, gospodarki i klimatu. Realizacja celów środowiskowych ma być wspierana przez cele horyzontalne dotyczące edukacji ekologicznej oraz efektywności funkcjonowania instrumentów ochrony środowiska. </w:t>
            </w:r>
            <w:r w:rsidRPr="00362D50">
              <w:rPr>
                <w:rFonts w:cstheme="minorHAnsi"/>
              </w:rPr>
              <w:t>By osiągnąć wyznaczone cele wskazano kierunki interwencji polegające na:</w:t>
            </w:r>
          </w:p>
          <w:p w14:paraId="3F708000" w14:textId="77777777" w:rsidR="007979AE" w:rsidRPr="00362D50" w:rsidRDefault="007979AE" w:rsidP="00145C6D">
            <w:pPr>
              <w:pStyle w:val="Akapitzlist"/>
              <w:numPr>
                <w:ilvl w:val="0"/>
                <w:numId w:val="2"/>
              </w:numPr>
              <w:rPr>
                <w:rFonts w:cstheme="minorHAnsi"/>
              </w:rPr>
            </w:pPr>
            <w:r w:rsidRPr="00362D50">
              <w:rPr>
                <w:rFonts w:cstheme="minorHAnsi"/>
              </w:rPr>
              <w:t xml:space="preserve">zarządzaniu zasobami dziedzictwa przyrodniczego i kulturowego, w tym ochrona i poprawa stanu różnorodności biologicznej i krajobrazu; </w:t>
            </w:r>
          </w:p>
          <w:p w14:paraId="59EB4F93" w14:textId="77777777" w:rsidR="007979AE" w:rsidRPr="00362D50" w:rsidRDefault="007979AE" w:rsidP="00145C6D">
            <w:pPr>
              <w:pStyle w:val="Akapitzlist"/>
              <w:numPr>
                <w:ilvl w:val="0"/>
                <w:numId w:val="7"/>
              </w:numPr>
              <w:shd w:val="clear" w:color="auto" w:fill="FFFFFF"/>
              <w:textAlignment w:val="baseline"/>
              <w:rPr>
                <w:rFonts w:cstheme="minorHAnsi"/>
              </w:rPr>
            </w:pPr>
            <w:r w:rsidRPr="00362D50">
              <w:rPr>
                <w:rFonts w:cstheme="minorHAnsi"/>
              </w:rPr>
              <w:t>przeciwdziałanie zmianom klimatu;</w:t>
            </w:r>
          </w:p>
          <w:p w14:paraId="3358907F" w14:textId="77777777" w:rsidR="007979AE" w:rsidRPr="00362D50" w:rsidRDefault="007979AE" w:rsidP="00145C6D">
            <w:pPr>
              <w:pStyle w:val="Akapitzlist"/>
              <w:numPr>
                <w:ilvl w:val="0"/>
                <w:numId w:val="7"/>
              </w:numPr>
              <w:shd w:val="clear" w:color="auto" w:fill="FFFFFF"/>
              <w:textAlignment w:val="baseline"/>
              <w:rPr>
                <w:rFonts w:cstheme="minorHAnsi"/>
              </w:rPr>
            </w:pPr>
            <w:r w:rsidRPr="00362D50">
              <w:rPr>
                <w:rFonts w:cstheme="minorHAnsi"/>
              </w:rPr>
              <w:t>edukacja ekologiczna, w tym kształtowanie wzorców zrównoważonej konsumpcji.</w:t>
            </w:r>
          </w:p>
          <w:p w14:paraId="67AC26A9" w14:textId="77777777" w:rsidR="007979AE" w:rsidRPr="00362D50" w:rsidRDefault="007979AE" w:rsidP="00145C6D">
            <w:pPr>
              <w:rPr>
                <w:rFonts w:cstheme="minorHAnsi"/>
              </w:rPr>
            </w:pPr>
            <w:r w:rsidRPr="00362D50">
              <w:rPr>
                <w:rFonts w:cstheme="minorHAnsi"/>
              </w:rPr>
              <w:t xml:space="preserve">Instrumenty PEP2030 skierowane są również na </w:t>
            </w:r>
            <w:r w:rsidRPr="00362D50">
              <w:rPr>
                <w:rFonts w:cstheme="minorHAnsi"/>
                <w:color w:val="1B1B1B"/>
                <w:shd w:val="clear" w:color="auto" w:fill="FFFFFF"/>
              </w:rPr>
              <w:t xml:space="preserve">rozwijanie kompetencji, umiejętności i postaw ekologicznych społeczeństwa oraz o poprawę zarządzania ochroną środowiska w Polsce. </w:t>
            </w:r>
            <w:r w:rsidRPr="00362D50">
              <w:rPr>
                <w:rFonts w:cstheme="minorHAnsi"/>
              </w:rPr>
              <w:t xml:space="preserve">W PEP 2030 w odniesieniu do województwa podkarpackiego wskazano, że w województwie problemem są zarówno niedobory wody, jak i jej nadmiar, co skutkuje powtarzającymi </w:t>
            </w:r>
            <w:proofErr w:type="spellStart"/>
            <w:r w:rsidRPr="00362D50">
              <w:rPr>
                <w:rFonts w:cstheme="minorHAnsi"/>
              </w:rPr>
              <w:t>sie</w:t>
            </w:r>
            <w:proofErr w:type="spellEnd"/>
            <w:r w:rsidRPr="00362D50">
              <w:rPr>
                <w:rFonts w:cstheme="minorHAnsi"/>
              </w:rPr>
              <w:t xml:space="preserve"> co kilka lat okresami susz i natężeniem zjawisk ekstremalnych.</w:t>
            </w:r>
          </w:p>
          <w:p w14:paraId="52540905" w14:textId="77777777" w:rsidR="007979AE" w:rsidRPr="00362D50" w:rsidRDefault="007979AE" w:rsidP="00145C6D">
            <w:pPr>
              <w:rPr>
                <w:rFonts w:cstheme="minorHAnsi"/>
              </w:rPr>
            </w:pPr>
            <w:r w:rsidRPr="00362D50">
              <w:rPr>
                <w:rFonts w:cstheme="minorHAnsi"/>
              </w:rPr>
              <w:t xml:space="preserve">PEP2030 stawia sobie za cel  wzmacnianie czynników budujących konkurencyjność regionów. Konkurencyjność ta może być oparta na obszarach OSI (obszary szczególnych interwencji) dla których możliwe jest aktywowanie potencjałów rozwojowych opartych na charakterystycznych warunkach i cechach społecznych, gospodarczych lub przestrzennych. </w:t>
            </w:r>
          </w:p>
          <w:p w14:paraId="7CEAE6AB" w14:textId="77777777" w:rsidR="007979AE" w:rsidRPr="00362D50" w:rsidRDefault="007979AE" w:rsidP="00145C6D">
            <w:pPr>
              <w:rPr>
                <w:rFonts w:cstheme="minorHAnsi"/>
              </w:rPr>
            </w:pPr>
            <w:r w:rsidRPr="00362D50">
              <w:rPr>
                <w:rFonts w:cstheme="minorHAnsi"/>
              </w:rPr>
              <w:lastRenderedPageBreak/>
              <w:t xml:space="preserve">Zgodnie z przeprowadzonymi w Prognozie analizami projekt PEP2030 ma charakter </w:t>
            </w:r>
            <w:proofErr w:type="spellStart"/>
            <w:r w:rsidRPr="00362D50">
              <w:rPr>
                <w:rFonts w:cstheme="minorHAnsi"/>
              </w:rPr>
              <w:t>prośrodowiskowy</w:t>
            </w:r>
            <w:proofErr w:type="spellEnd"/>
            <w:r w:rsidRPr="00362D50">
              <w:rPr>
                <w:rFonts w:cstheme="minorHAnsi"/>
              </w:rPr>
              <w:t xml:space="preserve"> i nie zidentyfikowano działań, które mogłyby znacząco negatywnie oddziaływać na obszary Natura 2000. Wyznaczone w PEP2030 cele i kierunki działań są spójne z krajowymi oraz międzynarodowymi dokumentami strategicznymi obejmującymi ochronę środowiska, ochronę przyrody i zdrowie ludzi.</w:t>
            </w:r>
          </w:p>
        </w:tc>
        <w:tc>
          <w:tcPr>
            <w:tcW w:w="4501" w:type="dxa"/>
          </w:tcPr>
          <w:p w14:paraId="5AA036DD" w14:textId="77777777" w:rsidR="007979AE" w:rsidRPr="00362D50" w:rsidRDefault="007979AE" w:rsidP="00145C6D">
            <w:pPr>
              <w:rPr>
                <w:rFonts w:cstheme="minorHAnsi"/>
              </w:rPr>
            </w:pPr>
            <w:r w:rsidRPr="00362D50">
              <w:rPr>
                <w:rFonts w:cstheme="minorHAnsi"/>
              </w:rPr>
              <w:lastRenderedPageBreak/>
              <w:t>W projekcie Koncepcji promuje się turystykę odpowiedzialną i</w:t>
            </w:r>
            <w:r>
              <w:rPr>
                <w:rFonts w:cstheme="minorHAnsi"/>
              </w:rPr>
              <w:t xml:space="preserve"> </w:t>
            </w:r>
            <w:r w:rsidRPr="00362D50">
              <w:rPr>
                <w:rFonts w:cstheme="minorHAnsi"/>
              </w:rPr>
              <w:t xml:space="preserve">edukacyjną, zachęcając do poznawania i ochrony unikalnych walorów przyrodniczych i krajobrazowych regionu. W ramach zadań planuje się rozbudowę infrastruktury turystycznej realizowaną z pełnym poszanowaniem dla przyrody, zwłaszcza w kontekście obszarów chronionych w ramach sieci Natura 2000. </w:t>
            </w:r>
          </w:p>
          <w:p w14:paraId="4F65A928" w14:textId="77777777" w:rsidR="007979AE" w:rsidRPr="00362D50" w:rsidRDefault="007979AE" w:rsidP="00145C6D">
            <w:pPr>
              <w:rPr>
                <w:rFonts w:cstheme="minorHAnsi"/>
              </w:rPr>
            </w:pPr>
            <w:r w:rsidRPr="00362D50">
              <w:rPr>
                <w:rFonts w:cstheme="minorHAnsi"/>
              </w:rPr>
              <w:t>Projekt będzie kształtuje wzorce społeczne oraz dzięki wspólnym wysiłkom regionów, stanie się modelem dla innych inicjatyw turystycznych, demonstrując jak przez współpracę można osiągnąć synergię przynoszącą korzyści dla wszystkich stron.</w:t>
            </w:r>
          </w:p>
          <w:p w14:paraId="0A173A74" w14:textId="77777777" w:rsidR="007979AE" w:rsidRPr="00362D50" w:rsidRDefault="007979AE" w:rsidP="00145C6D">
            <w:pPr>
              <w:rPr>
                <w:rFonts w:cstheme="minorHAnsi"/>
              </w:rPr>
            </w:pPr>
            <w:r w:rsidRPr="00362D50">
              <w:rPr>
                <w:rFonts w:cstheme="minorHAnsi"/>
              </w:rPr>
              <w:t>Propagowanie aktywnej turystyki wpływa na zmiany nawyków społecznych, a tym samym przynosi pozytywne zmiany w indywidualnej i zbiorowej mobilności mieszkańców. Projekt ma szczególny walor edukacyjny i pozwala na wymianę doświadczeń pomiędzy partnerami projektu oraz stworzenie ponadregionalnej marki turystycznej.</w:t>
            </w:r>
          </w:p>
          <w:p w14:paraId="382A1C3A" w14:textId="77777777" w:rsidR="007979AE" w:rsidRPr="00362D50" w:rsidRDefault="007979AE" w:rsidP="00145C6D">
            <w:pPr>
              <w:rPr>
                <w:rFonts w:cstheme="minorHAnsi"/>
              </w:rPr>
            </w:pPr>
            <w:r w:rsidRPr="00362D50">
              <w:rPr>
                <w:rFonts w:cstheme="minorHAnsi"/>
              </w:rPr>
              <w:t>Wskazane w projekcie Koncepcji cele są zgodne z założeniami i celami PEP 2030 oraz odpowiadają na identyfikowane problemy.</w:t>
            </w:r>
          </w:p>
        </w:tc>
      </w:tr>
      <w:tr w:rsidR="007979AE" w:rsidRPr="00E4277D" w14:paraId="6330446D" w14:textId="77777777" w:rsidTr="00145C6D">
        <w:tc>
          <w:tcPr>
            <w:tcW w:w="3211" w:type="dxa"/>
          </w:tcPr>
          <w:p w14:paraId="39406E8C" w14:textId="77777777" w:rsidR="007979AE" w:rsidRPr="00362D50" w:rsidRDefault="007979AE" w:rsidP="00145C6D">
            <w:pPr>
              <w:rPr>
                <w:rFonts w:cstheme="minorHAnsi"/>
              </w:rPr>
            </w:pPr>
            <w:r w:rsidRPr="00362D50">
              <w:rPr>
                <w:rFonts w:cstheme="minorHAnsi"/>
              </w:rPr>
              <w:t>Strategia na rzecz odpowiedzialnego rozwoju do roku 2020 (z perspektywą do 2030 r. – SOR)</w:t>
            </w:r>
          </w:p>
          <w:p w14:paraId="77DDD2DD" w14:textId="77777777" w:rsidR="007979AE" w:rsidRPr="00362D50" w:rsidRDefault="007979AE" w:rsidP="00145C6D">
            <w:pPr>
              <w:pStyle w:val="Default"/>
              <w:ind w:left="360"/>
              <w:rPr>
                <w:rFonts w:asciiTheme="minorHAnsi" w:hAnsiTheme="minorHAnsi" w:cstheme="minorHAnsi"/>
                <w:sz w:val="22"/>
                <w:szCs w:val="22"/>
              </w:rPr>
            </w:pPr>
          </w:p>
        </w:tc>
        <w:tc>
          <w:tcPr>
            <w:tcW w:w="6282" w:type="dxa"/>
          </w:tcPr>
          <w:p w14:paraId="13EF589B" w14:textId="77777777" w:rsidR="007979AE" w:rsidRPr="00362D50" w:rsidRDefault="007979AE" w:rsidP="00145C6D">
            <w:pPr>
              <w:rPr>
                <w:rFonts w:cstheme="minorHAnsi"/>
              </w:rPr>
            </w:pPr>
            <w:r w:rsidRPr="00362D50">
              <w:rPr>
                <w:rFonts w:cstheme="minorHAnsi"/>
              </w:rPr>
              <w:t xml:space="preserve">W dokumencie SOR określono cele i kierunki dotyczące rozwoju kraju w obrębie 4 płaszczyzn: społecznej, gospodarczej, regionalnej i przestrzennej. W Strategii sformułowano cele szczegółowe polegające na: </w:t>
            </w:r>
          </w:p>
          <w:p w14:paraId="6026F093" w14:textId="77777777" w:rsidR="007979AE" w:rsidRPr="00362D50" w:rsidRDefault="007979AE" w:rsidP="00145C6D">
            <w:pPr>
              <w:pStyle w:val="Akapitzlist"/>
              <w:numPr>
                <w:ilvl w:val="0"/>
                <w:numId w:val="3"/>
              </w:numPr>
              <w:rPr>
                <w:rFonts w:cstheme="minorHAnsi"/>
              </w:rPr>
            </w:pPr>
            <w:r w:rsidRPr="00362D50">
              <w:rPr>
                <w:rFonts w:cstheme="minorHAnsi"/>
              </w:rPr>
              <w:t>trwałym wzroście gospodarczym bazującym na wiedzy, danych i doskonałości organizacyjnej;</w:t>
            </w:r>
          </w:p>
          <w:p w14:paraId="50E80F11" w14:textId="77777777" w:rsidR="007979AE" w:rsidRPr="00362D50" w:rsidRDefault="007979AE" w:rsidP="00145C6D">
            <w:pPr>
              <w:pStyle w:val="Akapitzlist"/>
              <w:numPr>
                <w:ilvl w:val="0"/>
                <w:numId w:val="3"/>
              </w:numPr>
              <w:rPr>
                <w:rFonts w:cstheme="minorHAnsi"/>
              </w:rPr>
            </w:pPr>
            <w:r w:rsidRPr="00362D50">
              <w:rPr>
                <w:rFonts w:cstheme="minorHAnsi"/>
              </w:rPr>
              <w:t xml:space="preserve">rozwoju społecznie wrażliwym i terytorialnie zrównoważonym; </w:t>
            </w:r>
          </w:p>
          <w:p w14:paraId="7196ECF1" w14:textId="77777777" w:rsidR="007979AE" w:rsidRPr="00362D50" w:rsidRDefault="007979AE" w:rsidP="00145C6D">
            <w:pPr>
              <w:pStyle w:val="Akapitzlist"/>
              <w:numPr>
                <w:ilvl w:val="0"/>
                <w:numId w:val="3"/>
              </w:numPr>
              <w:rPr>
                <w:rFonts w:cstheme="minorHAnsi"/>
              </w:rPr>
            </w:pPr>
            <w:r w:rsidRPr="00362D50">
              <w:rPr>
                <w:rFonts w:cstheme="minorHAnsi"/>
              </w:rPr>
              <w:t xml:space="preserve">skutecznym państwie i instytucji służących wzrostowi oraz włączeniu społecznemu i gospodarczemu. </w:t>
            </w:r>
          </w:p>
          <w:p w14:paraId="460CDDB9" w14:textId="77777777" w:rsidR="007979AE" w:rsidRPr="00362D50" w:rsidRDefault="007979AE" w:rsidP="00145C6D">
            <w:pPr>
              <w:rPr>
                <w:rFonts w:cstheme="minorHAnsi"/>
              </w:rPr>
            </w:pPr>
            <w:r w:rsidRPr="00362D50">
              <w:rPr>
                <w:rFonts w:cstheme="minorHAnsi"/>
              </w:rPr>
              <w:t>Ponadto wskazano obszary, które wpływają na osiąganie celów Strategii: Kapitał ludzki i społeczny, Cyfryzacja, Transport, Energia, Środowisko, Bezpieczeństwo Narodowe. Zakładanym efektem realizacji dokumentu jest „</w:t>
            </w:r>
            <w:r w:rsidRPr="00362D50">
              <w:rPr>
                <w:rFonts w:cstheme="minorHAnsi"/>
                <w:i/>
                <w:iCs/>
              </w:rPr>
              <w:t>wzrost zamożności Polaków oraz zmniejszenie liczby osób zagrożonych ubóstwem i wykluczeniem społecznym</w:t>
            </w:r>
            <w:r w:rsidRPr="00362D50">
              <w:rPr>
                <w:rFonts w:cstheme="minorHAnsi"/>
              </w:rPr>
              <w:t>”. W SOR w ramach rozwoju transportu rowerowego wskazano potrzebę promocji ruchu rowerowego, a w ramach celu II Zwiększenie dostępności transportowej oraz poprawy warunków świadczenia usług związanych z przewozem towarów i pasażerów, gdzie wskazano na potrzebę poprawy warunków przemieszczania się rowerem. Strategia jest realizowana z wykorzystaniem podejścia projektowego. Dokument wprowadził szeroką gamę inicjatyw, łącznie z ponad 180 projektami strategicznymi i flagowymi, które służą realizacji celów strategicznych. </w:t>
            </w:r>
          </w:p>
          <w:p w14:paraId="76A2EBEE" w14:textId="77777777" w:rsidR="007979AE" w:rsidRPr="00362D50" w:rsidRDefault="007979AE" w:rsidP="00145C6D">
            <w:pPr>
              <w:rPr>
                <w:rFonts w:cstheme="minorHAnsi"/>
              </w:rPr>
            </w:pPr>
            <w:r w:rsidRPr="00362D50">
              <w:rPr>
                <w:rFonts w:cstheme="minorHAnsi"/>
              </w:rPr>
              <w:lastRenderedPageBreak/>
              <w:t>Strategia wskazuje na konieczność optymalnego wykorzystania potencjału rozwojowego dla zwiększenia konkurencyjności gospodarki i jednoczesne zapewnienie warunków dla trwałego i zrównoważonego rozwoju. Szczególnie istotne w takim systemie polityki rozwoju jest wzmocnienie odpowiedzialność samorządu terytorialnego za realizację działań rozwojowych i rozwijanie partnerstwa międzysektorowego. Działania wspierane w ramach Strategii będą koncentrowały się na poprawie kompetencji administracji samorządowej, zwiększeniu efektywności wydatkowania publicznych środków finansowych oraz budowie kapitału społecznego i poczuciu współodpowiedzialności kluczowych interesariuszy za rozwój swojego terytorium (samorządów terytorialnych, środowisk biznesu, mieszkańców oraz przedstawicieli nauki).</w:t>
            </w:r>
          </w:p>
        </w:tc>
        <w:tc>
          <w:tcPr>
            <w:tcW w:w="4501" w:type="dxa"/>
          </w:tcPr>
          <w:p w14:paraId="6341EE9D" w14:textId="77777777" w:rsidR="007979AE" w:rsidRPr="00362D50" w:rsidRDefault="007979AE" w:rsidP="00145C6D">
            <w:pPr>
              <w:rPr>
                <w:rFonts w:cstheme="minorHAnsi"/>
              </w:rPr>
            </w:pPr>
            <w:r w:rsidRPr="00362D50">
              <w:rPr>
                <w:rFonts w:cstheme="minorHAnsi"/>
              </w:rPr>
              <w:lastRenderedPageBreak/>
              <w:t>Projekt Koncepcji stanowi inicjatywę, której celem jest integracja i promocja turystyki aktywnej w ramach czterech województw: lubelskiego, mazowieckiego, świętokrzyskiego i podkarpackiego. Realizacja tego przedsięwzięcia przyczyni się do stworzenia spójnej, atrakcyjnej i zrównoważonej oferty turystycznej, wykorzystującej bogactwo naturalne i kulturowe wschodniej Polski.</w:t>
            </w:r>
          </w:p>
          <w:p w14:paraId="736BDF43" w14:textId="77777777" w:rsidR="007979AE" w:rsidRPr="00362D50" w:rsidRDefault="007979AE" w:rsidP="00145C6D">
            <w:pPr>
              <w:rPr>
                <w:rFonts w:cstheme="minorHAnsi"/>
              </w:rPr>
            </w:pPr>
            <w:r w:rsidRPr="00362D50">
              <w:rPr>
                <w:rFonts w:cstheme="minorHAnsi"/>
              </w:rPr>
              <w:t>Realizacja wspólnego, ponadregionalnego projektu realizuje jeden z głównych kierunków interwencji SOR jakim jest wzmocnienie odpowiedzialność samorządu terytorialnego za realizację działań rozwojowych i rozwijanie partnerstwa międzysektorowego.</w:t>
            </w:r>
          </w:p>
          <w:p w14:paraId="0C611291" w14:textId="77777777" w:rsidR="007979AE" w:rsidRPr="00362D50" w:rsidRDefault="007979AE" w:rsidP="00145C6D">
            <w:pPr>
              <w:rPr>
                <w:rFonts w:cstheme="minorHAnsi"/>
              </w:rPr>
            </w:pPr>
            <w:r w:rsidRPr="00362D50">
              <w:rPr>
                <w:rFonts w:cstheme="minorHAnsi"/>
              </w:rPr>
              <w:t xml:space="preserve">Realizacja założeń projektu Koncepcji sprzyja osiąganiu wyznaczonych w SOR celów szczegółowych. Zwłaszcza określonych w ramach Celu Operacyjnego dotyczącego trwałego wzrostu gospodarczego bazującego na wiedzy, danych i doskonałości organizacyjnej oraz skutecznego państwa i instytucji służących wzrostowi oraz włączeniu społecznemu i gospodarczemu. </w:t>
            </w:r>
          </w:p>
          <w:p w14:paraId="0311F6A8" w14:textId="77777777" w:rsidR="007979AE" w:rsidRPr="00362D50" w:rsidRDefault="007979AE" w:rsidP="00145C6D">
            <w:pPr>
              <w:rPr>
                <w:rFonts w:cstheme="minorHAnsi"/>
              </w:rPr>
            </w:pPr>
            <w:r w:rsidRPr="00362D50">
              <w:rPr>
                <w:rFonts w:cstheme="minorHAnsi"/>
              </w:rPr>
              <w:lastRenderedPageBreak/>
              <w:t>Przyjęty kierunek interwencji projektu Koncepcji jest spójny z założeniami zawartymi w Strategii na rzecz odpowiedzialnego rozwoju do roku 2020.</w:t>
            </w:r>
          </w:p>
        </w:tc>
      </w:tr>
      <w:tr w:rsidR="007979AE" w:rsidRPr="001406A0" w14:paraId="2012B3F6" w14:textId="77777777" w:rsidTr="00145C6D">
        <w:tc>
          <w:tcPr>
            <w:tcW w:w="3211" w:type="dxa"/>
          </w:tcPr>
          <w:p w14:paraId="4DBDE8AF" w14:textId="77777777" w:rsidR="007979AE" w:rsidRPr="00362D50" w:rsidRDefault="007979AE" w:rsidP="00145C6D">
            <w:pPr>
              <w:autoSpaceDE w:val="0"/>
              <w:autoSpaceDN w:val="0"/>
              <w:adjustRightInd w:val="0"/>
              <w:spacing w:after="120"/>
              <w:rPr>
                <w:rFonts w:cstheme="minorHAnsi"/>
              </w:rPr>
            </w:pPr>
            <w:r w:rsidRPr="00362D50">
              <w:rPr>
                <w:rFonts w:cstheme="minorHAnsi"/>
              </w:rPr>
              <w:lastRenderedPageBreak/>
              <w:t>Narodowy Program Bezpieczeństwa Ruchu Drogowego 2021-2030</w:t>
            </w:r>
          </w:p>
          <w:p w14:paraId="09945F50" w14:textId="77777777" w:rsidR="007979AE" w:rsidRPr="00362D50" w:rsidRDefault="007979AE" w:rsidP="00145C6D">
            <w:pPr>
              <w:tabs>
                <w:tab w:val="left" w:pos="3340"/>
              </w:tabs>
              <w:autoSpaceDE w:val="0"/>
              <w:autoSpaceDN w:val="0"/>
              <w:adjustRightInd w:val="0"/>
              <w:rPr>
                <w:rFonts w:cstheme="minorHAnsi"/>
                <w:color w:val="000000"/>
              </w:rPr>
            </w:pPr>
          </w:p>
        </w:tc>
        <w:tc>
          <w:tcPr>
            <w:tcW w:w="6282" w:type="dxa"/>
          </w:tcPr>
          <w:p w14:paraId="1C193C75" w14:textId="77777777" w:rsidR="007979AE" w:rsidRPr="00362D50" w:rsidRDefault="007979AE" w:rsidP="00145C6D">
            <w:pPr>
              <w:rPr>
                <w:rFonts w:cstheme="minorHAnsi"/>
              </w:rPr>
            </w:pPr>
            <w:r w:rsidRPr="00362D50">
              <w:rPr>
                <w:rFonts w:cstheme="minorHAnsi"/>
              </w:rPr>
              <w:t>Główne cele przyjęte w Narodowym Programie Bezpieczeństwa Ruchu Drogowego 2021-2030 do roku 2030 odnoszą się do ograniczenia o 50% ofiar śmiertelnych oraz ciężko rannych. Realizacja celów opiera  się na 5 podstawowych filarach bezpieczeństwa którymi są: </w:t>
            </w:r>
          </w:p>
          <w:p w14:paraId="0F31176B" w14:textId="77777777" w:rsidR="007979AE" w:rsidRPr="00362D50" w:rsidRDefault="007979AE" w:rsidP="00145C6D">
            <w:pPr>
              <w:pStyle w:val="Akapitzlist"/>
              <w:numPr>
                <w:ilvl w:val="0"/>
                <w:numId w:val="12"/>
              </w:numPr>
              <w:rPr>
                <w:rFonts w:cstheme="minorHAnsi"/>
              </w:rPr>
            </w:pPr>
            <w:r w:rsidRPr="00362D50">
              <w:rPr>
                <w:rFonts w:cstheme="minorHAnsi"/>
              </w:rPr>
              <w:t>system zarządzania bezpieczeństwem ruchu drogowego;</w:t>
            </w:r>
          </w:p>
          <w:p w14:paraId="695C1F36" w14:textId="77777777" w:rsidR="007979AE" w:rsidRPr="00362D50" w:rsidRDefault="007979AE" w:rsidP="00145C6D">
            <w:pPr>
              <w:pStyle w:val="Akapitzlist"/>
              <w:numPr>
                <w:ilvl w:val="0"/>
                <w:numId w:val="12"/>
              </w:numPr>
              <w:rPr>
                <w:rFonts w:cstheme="minorHAnsi"/>
              </w:rPr>
            </w:pPr>
            <w:r w:rsidRPr="00362D50">
              <w:rPr>
                <w:rFonts w:cstheme="minorHAnsi"/>
              </w:rPr>
              <w:t>bezpieczny człowiek;</w:t>
            </w:r>
          </w:p>
          <w:p w14:paraId="0E26556E" w14:textId="77777777" w:rsidR="007979AE" w:rsidRPr="00362D50" w:rsidRDefault="007979AE" w:rsidP="00145C6D">
            <w:pPr>
              <w:pStyle w:val="Akapitzlist"/>
              <w:numPr>
                <w:ilvl w:val="0"/>
                <w:numId w:val="12"/>
              </w:numPr>
              <w:rPr>
                <w:rFonts w:cstheme="minorHAnsi"/>
              </w:rPr>
            </w:pPr>
            <w:r w:rsidRPr="00362D50">
              <w:rPr>
                <w:rFonts w:cstheme="minorHAnsi"/>
              </w:rPr>
              <w:t xml:space="preserve">bezpieczna infrastruktura; </w:t>
            </w:r>
          </w:p>
          <w:p w14:paraId="6FA80545" w14:textId="77777777" w:rsidR="007979AE" w:rsidRPr="00362D50" w:rsidRDefault="007979AE" w:rsidP="00145C6D">
            <w:pPr>
              <w:pStyle w:val="Akapitzlist"/>
              <w:numPr>
                <w:ilvl w:val="0"/>
                <w:numId w:val="12"/>
              </w:numPr>
              <w:rPr>
                <w:rFonts w:cstheme="minorHAnsi"/>
              </w:rPr>
            </w:pPr>
            <w:r w:rsidRPr="00362D50">
              <w:rPr>
                <w:rFonts w:cstheme="minorHAnsi"/>
              </w:rPr>
              <w:t>bezpieczny pojazd;</w:t>
            </w:r>
          </w:p>
          <w:p w14:paraId="1BDF1DA2" w14:textId="77777777" w:rsidR="007979AE" w:rsidRPr="00362D50" w:rsidRDefault="007979AE" w:rsidP="00145C6D">
            <w:pPr>
              <w:pStyle w:val="Akapitzlist"/>
              <w:numPr>
                <w:ilvl w:val="0"/>
                <w:numId w:val="12"/>
              </w:numPr>
              <w:rPr>
                <w:rFonts w:cstheme="minorHAnsi"/>
              </w:rPr>
            </w:pPr>
            <w:r w:rsidRPr="00362D50">
              <w:rPr>
                <w:rFonts w:cstheme="minorHAnsi"/>
              </w:rPr>
              <w:t>ratownictwo i opieka powypadkowa.</w:t>
            </w:r>
          </w:p>
          <w:p w14:paraId="5980832D" w14:textId="77777777" w:rsidR="007979AE" w:rsidRPr="00362D50" w:rsidRDefault="007979AE" w:rsidP="00145C6D">
            <w:pPr>
              <w:rPr>
                <w:rFonts w:cstheme="minorHAnsi"/>
              </w:rPr>
            </w:pPr>
            <w:r w:rsidRPr="00362D50">
              <w:rPr>
                <w:rFonts w:cstheme="minorHAnsi"/>
              </w:rPr>
              <w:t>Osiągnięcie celów głównych oznacza, że w całym okresie realizacji Programu powinien następować stopniowy spadek zagrożenia w ruchu drogowym.</w:t>
            </w:r>
          </w:p>
          <w:p w14:paraId="32353F73" w14:textId="77777777" w:rsidR="007979AE" w:rsidRPr="00362D50" w:rsidRDefault="007979AE" w:rsidP="00145C6D">
            <w:pPr>
              <w:rPr>
                <w:rFonts w:cstheme="minorHAnsi"/>
              </w:rPr>
            </w:pPr>
            <w:r w:rsidRPr="00362D50">
              <w:rPr>
                <w:rFonts w:cstheme="minorHAnsi"/>
              </w:rPr>
              <w:t xml:space="preserve">Jako kluczowe kryterium projektowania bezpiecznych rozwiązań transportu i ruchu drogowego wskazuje się konieczność intensyfikowania działań ochronnych wobec pieszych, rowerzystów, motorowerzystów i motocyklistów. Interwencje </w:t>
            </w:r>
            <w:r w:rsidRPr="00362D50">
              <w:rPr>
                <w:rFonts w:cstheme="minorHAnsi"/>
              </w:rPr>
              <w:lastRenderedPageBreak/>
              <w:t>Programu dotyczą również dbałości o nowoczesne i bezpieczne rozwiązania w obszarze infrastruktury drogowej. Wskazywana jest konieczność realizacji zadań ukierunkowanych na poprawę bezpieczeństwa drogowego która realizowana powinna być w ścisłej korelacji z szeroko rozumianą polityką ochrony zdrowia oraz promocją zrównoważonego rozwoju z poszanowaniem otaczającego nas środowiska oraz właściwie stanowionych praw i przywilejów poszczególnych grup uczestników ruchu drogowego. Planowane rozwiązania powinny stopniowo ograniczać główne koszty zewnętrzne transportu drogowego, w tym zanieczyszczenie środowiska, wypadki drogowe i ich konsekwencje, hałas czy kongestię. Z drugiej strony powinny wspierać zachowania prospołeczne i prozdrowotne, umożliwiając społeczeństwu podejmowanie wielu aktywności, także związanych z mobilnością, w sposób bezpieczny i zrównoważony.</w:t>
            </w:r>
          </w:p>
        </w:tc>
        <w:tc>
          <w:tcPr>
            <w:tcW w:w="4501" w:type="dxa"/>
          </w:tcPr>
          <w:p w14:paraId="3FCFDA0C" w14:textId="77777777" w:rsidR="007979AE" w:rsidRPr="00362D50" w:rsidRDefault="007979AE" w:rsidP="00145C6D">
            <w:pPr>
              <w:rPr>
                <w:rFonts w:cstheme="minorHAnsi"/>
              </w:rPr>
            </w:pPr>
            <w:r w:rsidRPr="00362D50">
              <w:rPr>
                <w:rFonts w:cstheme="minorHAnsi"/>
              </w:rPr>
              <w:lastRenderedPageBreak/>
              <w:t xml:space="preserve">Projekt  zakłada interwencję w ramach celów związanych z poprawą bezpieczeństwa drogowego poprzez wyprowadzenie ruchu rowerowego poza system dróg publicznych.  W ramach celów Koncepcji planuje się wsparcie dla promocji  zachowania prozdrowotnych, umożliwiając społeczeństwu podejmowanie wielu aktywności, także tych związanych z mobilnością: jazda na rowerze, pływanie kajakiem, turystyka </w:t>
            </w:r>
            <w:proofErr w:type="spellStart"/>
            <w:r w:rsidRPr="00362D50">
              <w:rPr>
                <w:rFonts w:cstheme="minorHAnsi"/>
              </w:rPr>
              <w:t>kamperowa</w:t>
            </w:r>
            <w:proofErr w:type="spellEnd"/>
            <w:r w:rsidRPr="00362D50">
              <w:rPr>
                <w:rFonts w:cstheme="minorHAnsi"/>
              </w:rPr>
              <w:t xml:space="preserve">. Projekt Koncepcji stawia na równouprawnienie w traktowaniu ruchu  rowerowego, kajakowego oraz </w:t>
            </w:r>
            <w:proofErr w:type="spellStart"/>
            <w:r w:rsidRPr="00362D50">
              <w:rPr>
                <w:rFonts w:cstheme="minorHAnsi"/>
              </w:rPr>
              <w:t>kamperowego</w:t>
            </w:r>
            <w:proofErr w:type="spellEnd"/>
            <w:r w:rsidRPr="00362D50">
              <w:rPr>
                <w:rFonts w:cstheme="minorHAnsi"/>
              </w:rPr>
              <w:t xml:space="preserve"> obok innych sposobów przemieszczania się.</w:t>
            </w:r>
          </w:p>
          <w:p w14:paraId="23ECCBD6" w14:textId="77777777" w:rsidR="007979AE" w:rsidRPr="00362D50" w:rsidRDefault="007979AE" w:rsidP="00145C6D">
            <w:pPr>
              <w:rPr>
                <w:rFonts w:cstheme="minorHAnsi"/>
              </w:rPr>
            </w:pPr>
            <w:r w:rsidRPr="00362D50">
              <w:rPr>
                <w:rFonts w:cstheme="minorHAnsi"/>
              </w:rPr>
              <w:t xml:space="preserve">Jednocześnie rozwijająca się turystyka rowerowa czy kajakowa determinuje wyznaczanie przestrzeni przyjaznych turystom, </w:t>
            </w:r>
            <w:r w:rsidRPr="00362D50">
              <w:rPr>
                <w:rFonts w:cstheme="minorHAnsi"/>
              </w:rPr>
              <w:lastRenderedPageBreak/>
              <w:t>co wpływa bezpośrednio na poprawę bezpieczeństwa uczestników ruchu.</w:t>
            </w:r>
          </w:p>
          <w:p w14:paraId="4E54A38A" w14:textId="77777777" w:rsidR="007979AE" w:rsidRPr="00362D50" w:rsidRDefault="007979AE" w:rsidP="00145C6D">
            <w:pPr>
              <w:autoSpaceDE w:val="0"/>
              <w:autoSpaceDN w:val="0"/>
              <w:adjustRightInd w:val="0"/>
              <w:spacing w:after="120"/>
              <w:rPr>
                <w:rFonts w:cstheme="minorHAnsi"/>
              </w:rPr>
            </w:pPr>
            <w:r w:rsidRPr="00362D50">
              <w:rPr>
                <w:rFonts w:cstheme="minorHAnsi"/>
              </w:rPr>
              <w:t>Przyjęty kierunek interwencji projektu Koncepcji jest spójny z założeniami zawartymi w Narodowym Programie Bezpieczeństwa Ruchu Drogowego 2021-2030</w:t>
            </w:r>
          </w:p>
        </w:tc>
      </w:tr>
      <w:tr w:rsidR="007979AE" w:rsidRPr="00125338" w14:paraId="0F2652DC" w14:textId="77777777" w:rsidTr="00145C6D">
        <w:tc>
          <w:tcPr>
            <w:tcW w:w="3211" w:type="dxa"/>
          </w:tcPr>
          <w:p w14:paraId="088E9B25" w14:textId="77777777" w:rsidR="007979AE" w:rsidRPr="00362D50" w:rsidRDefault="007979AE" w:rsidP="00145C6D">
            <w:pPr>
              <w:autoSpaceDE w:val="0"/>
              <w:autoSpaceDN w:val="0"/>
              <w:adjustRightInd w:val="0"/>
              <w:rPr>
                <w:rFonts w:cstheme="minorHAnsi"/>
              </w:rPr>
            </w:pPr>
            <w:r w:rsidRPr="00362D50">
              <w:rPr>
                <w:rFonts w:cstheme="minorHAnsi"/>
              </w:rPr>
              <w:lastRenderedPageBreak/>
              <w:t>Program Fundusze Europejskie na Infrastrukturę, Klimat, Środowisko 2021-2027 (</w:t>
            </w:r>
            <w:proofErr w:type="spellStart"/>
            <w:r w:rsidRPr="00362D50">
              <w:rPr>
                <w:rFonts w:cstheme="minorHAnsi"/>
              </w:rPr>
              <w:t>FEnIKS</w:t>
            </w:r>
            <w:proofErr w:type="spellEnd"/>
            <w:r w:rsidRPr="00362D50">
              <w:rPr>
                <w:rFonts w:cstheme="minorHAnsi"/>
              </w:rPr>
              <w:t>) wraz z Prognozą oddziaływania na środowisko.</w:t>
            </w:r>
          </w:p>
          <w:p w14:paraId="61E28573" w14:textId="77777777" w:rsidR="007979AE" w:rsidRPr="00362D50" w:rsidRDefault="007979AE" w:rsidP="00145C6D">
            <w:pPr>
              <w:ind w:left="360"/>
              <w:rPr>
                <w:rFonts w:cstheme="minorHAnsi"/>
              </w:rPr>
            </w:pPr>
          </w:p>
        </w:tc>
        <w:tc>
          <w:tcPr>
            <w:tcW w:w="6282" w:type="dxa"/>
          </w:tcPr>
          <w:p w14:paraId="4A2670A8" w14:textId="77777777" w:rsidR="007979AE" w:rsidRPr="00362D50" w:rsidRDefault="007979AE" w:rsidP="00145C6D">
            <w:pPr>
              <w:rPr>
                <w:rFonts w:cstheme="minorHAnsi"/>
              </w:rPr>
            </w:pPr>
            <w:r w:rsidRPr="00362D50">
              <w:rPr>
                <w:rFonts w:cstheme="minorHAnsi"/>
              </w:rPr>
              <w:t>Zakładanym celem interwencji Programu jest wsparcie przedsięwzięć, które na poziomie krajowej polityki spójności w największym stopniu przyczynią się do realizacji celów określonych w strategii UE Europejski Zielony Ład. Program skupia się na realizacji trzech wskazanych w projekcie Rozporządzenia ogólnego dla polityki spójności na lata 2021-2027 Celów Polityki:</w:t>
            </w:r>
          </w:p>
          <w:p w14:paraId="3FBCBBBE" w14:textId="77777777" w:rsidR="007979AE" w:rsidRPr="00362D50" w:rsidRDefault="007979AE" w:rsidP="00145C6D">
            <w:pPr>
              <w:pStyle w:val="Akapitzlist"/>
              <w:numPr>
                <w:ilvl w:val="0"/>
                <w:numId w:val="8"/>
              </w:numPr>
              <w:rPr>
                <w:rFonts w:cstheme="minorHAnsi"/>
              </w:rPr>
            </w:pPr>
            <w:r w:rsidRPr="00362D50">
              <w:rPr>
                <w:rFonts w:cstheme="minorHAnsi"/>
              </w:rPr>
              <w:t>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467B3247" w14:textId="77777777" w:rsidR="007979AE" w:rsidRPr="00362D50" w:rsidRDefault="007979AE" w:rsidP="00145C6D">
            <w:pPr>
              <w:pStyle w:val="Akapitzlist"/>
              <w:numPr>
                <w:ilvl w:val="0"/>
                <w:numId w:val="8"/>
              </w:numPr>
              <w:rPr>
                <w:rFonts w:cstheme="minorHAnsi"/>
              </w:rPr>
            </w:pPr>
            <w:r w:rsidRPr="00362D50">
              <w:rPr>
                <w:rFonts w:cstheme="minorHAnsi"/>
              </w:rPr>
              <w:t xml:space="preserve">Lepiej połączona Europa dzięki zwiększeniu mobilności; </w:t>
            </w:r>
          </w:p>
          <w:p w14:paraId="7F44A7DA" w14:textId="77777777" w:rsidR="007979AE" w:rsidRPr="00362D50" w:rsidRDefault="007979AE" w:rsidP="00145C6D">
            <w:pPr>
              <w:pStyle w:val="Akapitzlist"/>
              <w:numPr>
                <w:ilvl w:val="0"/>
                <w:numId w:val="8"/>
              </w:numPr>
              <w:rPr>
                <w:rFonts w:cstheme="minorHAnsi"/>
              </w:rPr>
            </w:pPr>
            <w:r w:rsidRPr="00362D50">
              <w:rPr>
                <w:rFonts w:cstheme="minorHAnsi"/>
              </w:rPr>
              <w:lastRenderedPageBreak/>
              <w:t>Europa o silniejszym wymiarze społecznym, bardziej sprzyjająca włączeniu społecznemu i wdrażająca Europejski filar praw socjalnych.</w:t>
            </w:r>
          </w:p>
          <w:p w14:paraId="07E86324" w14:textId="77777777" w:rsidR="007979AE" w:rsidRPr="00362D50" w:rsidRDefault="007979AE" w:rsidP="00145C6D">
            <w:pPr>
              <w:rPr>
                <w:rFonts w:cstheme="minorHAnsi"/>
              </w:rPr>
            </w:pPr>
            <w:r w:rsidRPr="00362D50">
              <w:rPr>
                <w:rFonts w:cstheme="minorHAnsi"/>
              </w:rPr>
              <w:t>W ramach realizacji ww. celów przyjęto następującą strukturę Programu, zawierającą cele szczegółowe wśród których znajdują się m.in.:</w:t>
            </w:r>
          </w:p>
          <w:p w14:paraId="793002D0" w14:textId="77777777" w:rsidR="007979AE" w:rsidRPr="00362D50" w:rsidRDefault="007979AE" w:rsidP="00145C6D">
            <w:pPr>
              <w:pStyle w:val="Akapitzlist"/>
              <w:numPr>
                <w:ilvl w:val="0"/>
                <w:numId w:val="9"/>
              </w:numPr>
              <w:rPr>
                <w:rFonts w:cstheme="minorHAnsi"/>
              </w:rPr>
            </w:pPr>
            <w:r w:rsidRPr="00362D50">
              <w:rPr>
                <w:rFonts w:cstheme="minorHAnsi"/>
              </w:rPr>
              <w:t>wzmacnianie roli kultury i zrównoważonej turystyki w rozwoju gospodarczym, włączeniu społecznym i innowacjach społecznych;</w:t>
            </w:r>
          </w:p>
          <w:p w14:paraId="41E8E23E" w14:textId="77777777" w:rsidR="007979AE" w:rsidRPr="00362D50" w:rsidRDefault="007979AE" w:rsidP="00145C6D">
            <w:pPr>
              <w:pStyle w:val="Akapitzlist"/>
              <w:numPr>
                <w:ilvl w:val="0"/>
                <w:numId w:val="9"/>
              </w:numPr>
              <w:rPr>
                <w:rFonts w:cstheme="minorHAnsi"/>
              </w:rPr>
            </w:pPr>
            <w:r w:rsidRPr="00362D50">
              <w:rPr>
                <w:rFonts w:cstheme="minorHAnsi"/>
              </w:rPr>
              <w:t>wzmacnianie ochrony i zachowania przyrody, różnorodności biologicznej oraz zielonej infrastruktury, w tym na obszarach miejskich, oraz ograniczanie wszelkich rodzajów zanieczyszczenia;</w:t>
            </w:r>
          </w:p>
          <w:p w14:paraId="1E3C47F5" w14:textId="77777777" w:rsidR="007979AE" w:rsidRPr="00362D50" w:rsidRDefault="007979AE" w:rsidP="00145C6D">
            <w:pPr>
              <w:pStyle w:val="Akapitzlist"/>
              <w:numPr>
                <w:ilvl w:val="0"/>
                <w:numId w:val="9"/>
              </w:numPr>
              <w:rPr>
                <w:rFonts w:cstheme="minorHAnsi"/>
              </w:rPr>
            </w:pPr>
            <w:r w:rsidRPr="00362D50">
              <w:rPr>
                <w:rFonts w:cstheme="minorHAnsi"/>
              </w:rPr>
              <w:t>rozwój i udoskonalanie zrównoważonej, odpornej na zmiany klimatu, inteligentnej i intermodalnej mobilności na poziomie krajowym, regionalnym i lokalnym, w tym poprawę dostępu do TEN-T oraz mobilności transgranicznej.</w:t>
            </w:r>
          </w:p>
          <w:p w14:paraId="09A136E8" w14:textId="77777777" w:rsidR="007979AE" w:rsidRPr="00362D50" w:rsidRDefault="007979AE" w:rsidP="005372D0">
            <w:pPr>
              <w:rPr>
                <w:rFonts w:cstheme="minorHAnsi"/>
              </w:rPr>
            </w:pPr>
            <w:r w:rsidRPr="00362D50">
              <w:rPr>
                <w:rFonts w:cstheme="minorHAnsi"/>
              </w:rPr>
              <w:t>Realizowane w ramach Programu projekty będą działaniami proekologicznymi, nastawionymi na minimalizację oddziaływań uciążliwych dla środowiska i zdrowia ludzi, bądź działa nimi  bezpośrednio korzystnie wpływającymi na środowisko.</w:t>
            </w:r>
          </w:p>
        </w:tc>
        <w:tc>
          <w:tcPr>
            <w:tcW w:w="4501" w:type="dxa"/>
          </w:tcPr>
          <w:p w14:paraId="08C41EE7" w14:textId="77777777" w:rsidR="007979AE" w:rsidRPr="00362D50" w:rsidRDefault="007979AE" w:rsidP="00145C6D">
            <w:pPr>
              <w:rPr>
                <w:rFonts w:cstheme="minorHAnsi"/>
              </w:rPr>
            </w:pPr>
            <w:r w:rsidRPr="00362D50">
              <w:rPr>
                <w:rFonts w:cstheme="minorHAnsi"/>
              </w:rPr>
              <w:lastRenderedPageBreak/>
              <w:t xml:space="preserve">Projekt  Koncepcji zakłada interwencję w ramach celów związanych z wzmacnianiem roli kultury i zrównoważonej turystyki w rozwoju gospodarczym. W ramach działań Koncepcji planuje się działania z zakresu </w:t>
            </w:r>
            <w:r w:rsidRPr="00362D50">
              <w:rPr>
                <w:rFonts w:cstheme="minorHAnsi"/>
                <w:kern w:val="2"/>
              </w:rPr>
              <w:t xml:space="preserve">turystyki ekologicznej i edukacyjnej, pozwalając odwiedzającym na odkrywanie unikalnych wartości przyrodniczych województwa podkarpackiego. Edukacja na temat ochrony przyrody i zrównoważonego użytkowania zasobów naturalnych jest ważnym elementem projektu, który może być wzmocniony poprzez odpowiednio zaprojektowane ścieżki edukacyjne, punkty informacyjne oraz programy interpretacyjne. Działania edukacyjne stanowią  dopełnienie projektów turystycznych, </w:t>
            </w:r>
            <w:r w:rsidRPr="00362D50">
              <w:rPr>
                <w:rFonts w:cstheme="minorHAnsi"/>
                <w:kern w:val="2"/>
              </w:rPr>
              <w:lastRenderedPageBreak/>
              <w:t>które łączą w sobie szacunek dla przyrody z nowoczesnymi rozwiązaniami promującymi aktywny wypoczynek.</w:t>
            </w:r>
            <w:r w:rsidRPr="00362D50">
              <w:rPr>
                <w:rFonts w:cstheme="minorHAnsi"/>
              </w:rPr>
              <w:t xml:space="preserve"> </w:t>
            </w:r>
            <w:r w:rsidRPr="00362D50">
              <w:rPr>
                <w:rFonts w:cstheme="minorHAnsi"/>
                <w:kern w:val="2"/>
              </w:rPr>
              <w:t>Rozbudowa infrastruktury turystycznej, w tym szlaków rowerowych, tras kajakowych oraz miejsc obsługi turystów, jest odpowiedzią na rosnące zainteresowanie formami aktywnego wypoczynku w harmonii z naturą.</w:t>
            </w:r>
          </w:p>
          <w:p w14:paraId="66E2355E" w14:textId="77777777" w:rsidR="007979AE" w:rsidRPr="00362D50" w:rsidRDefault="007979AE" w:rsidP="00145C6D">
            <w:pPr>
              <w:rPr>
                <w:rFonts w:cstheme="minorHAnsi"/>
              </w:rPr>
            </w:pPr>
            <w:r w:rsidRPr="00362D50">
              <w:rPr>
                <w:rFonts w:cstheme="minorHAnsi"/>
              </w:rPr>
              <w:t xml:space="preserve">Przyjęty kierunek interwencji projektu Koncepcji jest spójny z celami szczegółowymi programu </w:t>
            </w:r>
            <w:proofErr w:type="spellStart"/>
            <w:r w:rsidRPr="00362D50">
              <w:rPr>
                <w:rFonts w:cstheme="minorHAnsi"/>
              </w:rPr>
              <w:t>FEnIKS</w:t>
            </w:r>
            <w:proofErr w:type="spellEnd"/>
            <w:r w:rsidRPr="00362D50">
              <w:rPr>
                <w:rFonts w:cstheme="minorHAnsi"/>
              </w:rPr>
              <w:t xml:space="preserve"> i jego założeniami dotyczącymi wzmacniania i rozwoju zrównoważonej turystyki.</w:t>
            </w:r>
          </w:p>
        </w:tc>
      </w:tr>
    </w:tbl>
    <w:p w14:paraId="5D7BDE77" w14:textId="160DFC31" w:rsidR="007979AE" w:rsidRDefault="009B7728" w:rsidP="00A26002">
      <w:pPr>
        <w:spacing w:before="240" w:line="240" w:lineRule="auto"/>
        <w:rPr>
          <w:rFonts w:cstheme="minorHAnsi"/>
          <w:b/>
          <w:bCs/>
        </w:rPr>
      </w:pPr>
      <w:r w:rsidRPr="00362D50">
        <w:rPr>
          <w:rFonts w:cstheme="minorHAnsi"/>
          <w:b/>
          <w:bCs/>
        </w:rPr>
        <w:lastRenderedPageBreak/>
        <w:t>Analiza zapisów, celów dokumentów na poziomie wojewódzkim</w:t>
      </w:r>
    </w:p>
    <w:tbl>
      <w:tblPr>
        <w:tblStyle w:val="Tabela-Siatka"/>
        <w:tblW w:w="0" w:type="auto"/>
        <w:tblLook w:val="04A0" w:firstRow="1" w:lastRow="0" w:firstColumn="1" w:lastColumn="0" w:noHBand="0" w:noVBand="1"/>
        <w:tblCaption w:val="Analiza zapisów, celów dokumentów na poziomie wojewódzkim"/>
      </w:tblPr>
      <w:tblGrid>
        <w:gridCol w:w="3211"/>
        <w:gridCol w:w="6282"/>
        <w:gridCol w:w="4501"/>
      </w:tblGrid>
      <w:tr w:rsidR="009B7728" w:rsidRPr="00362D50" w14:paraId="256960DF" w14:textId="77777777" w:rsidTr="00CC489F">
        <w:trPr>
          <w:tblHeader/>
        </w:trPr>
        <w:tc>
          <w:tcPr>
            <w:tcW w:w="3211" w:type="dxa"/>
          </w:tcPr>
          <w:p w14:paraId="2C6F317D" w14:textId="1525B26C" w:rsidR="009B7728" w:rsidRPr="00362D50" w:rsidRDefault="009B7728" w:rsidP="009B7728">
            <w:pPr>
              <w:autoSpaceDE w:val="0"/>
              <w:autoSpaceDN w:val="0"/>
              <w:adjustRightInd w:val="0"/>
              <w:rPr>
                <w:rStyle w:val="Uwydatnienie"/>
                <w:rFonts w:cstheme="minorHAnsi"/>
                <w:bCs/>
                <w:i w:val="0"/>
                <w:iCs w:val="0"/>
                <w:color w:val="000000"/>
              </w:rPr>
            </w:pPr>
            <w:r w:rsidRPr="00362D50">
              <w:rPr>
                <w:rFonts w:cstheme="minorHAnsi"/>
                <w:b/>
                <w:bCs/>
              </w:rPr>
              <w:t>Tytuł dokumentu</w:t>
            </w:r>
          </w:p>
        </w:tc>
        <w:tc>
          <w:tcPr>
            <w:tcW w:w="6282" w:type="dxa"/>
          </w:tcPr>
          <w:p w14:paraId="40CA5776" w14:textId="623A8AE9" w:rsidR="009B7728" w:rsidRPr="00362D50" w:rsidRDefault="009B7728" w:rsidP="009B7728">
            <w:pPr>
              <w:rPr>
                <w:rFonts w:cstheme="minorHAnsi"/>
              </w:rPr>
            </w:pPr>
            <w:r w:rsidRPr="00362D50">
              <w:rPr>
                <w:rFonts w:cstheme="minorHAnsi"/>
                <w:b/>
                <w:bCs/>
              </w:rPr>
              <w:t>Analiza zapisów, celów dokumentów na poziomie międzynarodowym/krajowym/regionalnym</w:t>
            </w:r>
          </w:p>
        </w:tc>
        <w:tc>
          <w:tcPr>
            <w:tcW w:w="4501" w:type="dxa"/>
          </w:tcPr>
          <w:p w14:paraId="2D8A158C" w14:textId="7AEFF6E4" w:rsidR="009B7728" w:rsidRPr="00362D50" w:rsidRDefault="009B7728" w:rsidP="009B7728">
            <w:pPr>
              <w:rPr>
                <w:rFonts w:cstheme="minorHAnsi"/>
              </w:rPr>
            </w:pPr>
            <w:r w:rsidRPr="00362D50">
              <w:rPr>
                <w:rFonts w:cstheme="minorHAnsi"/>
                <w:b/>
                <w:bCs/>
              </w:rPr>
              <w:t>Analiza powiązań ocenian</w:t>
            </w:r>
            <w:r>
              <w:rPr>
                <w:rFonts w:cstheme="minorHAnsi"/>
                <w:b/>
                <w:bCs/>
              </w:rPr>
              <w:t>ego</w:t>
            </w:r>
            <w:r w:rsidRPr="00362D50">
              <w:rPr>
                <w:rFonts w:cstheme="minorHAnsi"/>
                <w:b/>
                <w:bCs/>
              </w:rPr>
              <w:t xml:space="preserve"> projekt</w:t>
            </w:r>
            <w:r>
              <w:rPr>
                <w:rFonts w:cstheme="minorHAnsi"/>
                <w:b/>
                <w:bCs/>
              </w:rPr>
              <w:t>u Koncepcji z innymi dokumentami</w:t>
            </w:r>
          </w:p>
        </w:tc>
      </w:tr>
      <w:tr w:rsidR="009B7728" w:rsidRPr="00362D50" w14:paraId="1B5AE4B1" w14:textId="77777777" w:rsidTr="00145C6D">
        <w:tc>
          <w:tcPr>
            <w:tcW w:w="3211" w:type="dxa"/>
          </w:tcPr>
          <w:p w14:paraId="1C95DC59" w14:textId="77777777" w:rsidR="009B7728" w:rsidRPr="00362D50" w:rsidRDefault="009B7728" w:rsidP="009B7728">
            <w:pPr>
              <w:autoSpaceDE w:val="0"/>
              <w:autoSpaceDN w:val="0"/>
              <w:adjustRightInd w:val="0"/>
              <w:rPr>
                <w:rFonts w:cstheme="minorHAnsi"/>
              </w:rPr>
            </w:pPr>
            <w:r w:rsidRPr="00362D50">
              <w:rPr>
                <w:rStyle w:val="Uwydatnienie"/>
                <w:rFonts w:cstheme="minorHAnsi"/>
                <w:bCs/>
                <w:i w:val="0"/>
                <w:iCs w:val="0"/>
                <w:color w:val="000000"/>
              </w:rPr>
              <w:t>Program Strategiczny Rozwoju Transportu Województwa Podkarpackiego do roku 2030</w:t>
            </w:r>
            <w:r w:rsidRPr="00362D50">
              <w:rPr>
                <w:rFonts w:cstheme="minorHAnsi"/>
                <w:bCs/>
                <w:i/>
                <w:iCs/>
                <w:color w:val="000000"/>
              </w:rPr>
              <w:t> (PSRT WP do roku 2030)</w:t>
            </w:r>
            <w:r w:rsidRPr="00362D50">
              <w:rPr>
                <w:rFonts w:cstheme="minorHAnsi"/>
                <w:color w:val="000000"/>
                <w:shd w:val="clear" w:color="auto" w:fill="FFFFFF"/>
              </w:rPr>
              <w:t xml:space="preserve"> przyjęty Uchwałą Nr </w:t>
            </w:r>
            <w:r w:rsidRPr="00362D50">
              <w:rPr>
                <w:rFonts w:cstheme="minorHAnsi"/>
                <w:color w:val="000000"/>
                <w:shd w:val="clear" w:color="auto" w:fill="FFFFFF"/>
              </w:rPr>
              <w:lastRenderedPageBreak/>
              <w:t>570/12169/24 Zarządu Województwa Podkarpackiego z dnia 23 lutego 2024 r.</w:t>
            </w:r>
          </w:p>
        </w:tc>
        <w:tc>
          <w:tcPr>
            <w:tcW w:w="6282" w:type="dxa"/>
          </w:tcPr>
          <w:p w14:paraId="3C330518" w14:textId="77777777" w:rsidR="009B7728" w:rsidRPr="00362D50" w:rsidRDefault="009B7728" w:rsidP="009B7728">
            <w:pPr>
              <w:rPr>
                <w:rFonts w:cstheme="minorHAnsi"/>
              </w:rPr>
            </w:pPr>
            <w:r w:rsidRPr="00362D50">
              <w:rPr>
                <w:rFonts w:cstheme="minorHAnsi"/>
              </w:rPr>
              <w:lastRenderedPageBreak/>
              <w:t xml:space="preserve">Cel główny strategii został </w:t>
            </w:r>
            <w:proofErr w:type="spellStart"/>
            <w:r w:rsidRPr="00362D50">
              <w:rPr>
                <w:rFonts w:cstheme="minorHAnsi"/>
              </w:rPr>
              <w:t>sformuowany</w:t>
            </w:r>
            <w:proofErr w:type="spellEnd"/>
            <w:r w:rsidRPr="00362D50">
              <w:rPr>
                <w:rFonts w:cstheme="minorHAnsi"/>
              </w:rPr>
              <w:t xml:space="preserve"> jako: odpowiedzialne i efektywne wykorzystanie zasobów </w:t>
            </w:r>
            <w:proofErr w:type="spellStart"/>
            <w:r w:rsidRPr="00362D50">
              <w:rPr>
                <w:rFonts w:cstheme="minorHAnsi"/>
              </w:rPr>
              <w:t>endo</w:t>
            </w:r>
            <w:proofErr w:type="spellEnd"/>
            <w:r w:rsidRPr="00362D50">
              <w:rPr>
                <w:rFonts w:cstheme="minorHAnsi"/>
              </w:rPr>
              <w:t xml:space="preserve">- i egzogenicznych regionu, zapewniające trwały, zrównoważony i terytorialnie równomierny rozwój gospodarczy oraz wysoką jakość życia mieszkańców </w:t>
            </w:r>
            <w:r w:rsidRPr="00362D50">
              <w:rPr>
                <w:rFonts w:cstheme="minorHAnsi"/>
              </w:rPr>
              <w:lastRenderedPageBreak/>
              <w:t xml:space="preserve">województwa. Obszary interwencji wspierające osiągnięcie celu strategii to: </w:t>
            </w:r>
          </w:p>
          <w:p w14:paraId="0C573D7E" w14:textId="77777777" w:rsidR="009B7728" w:rsidRPr="00362D50" w:rsidRDefault="009B7728" w:rsidP="009B7728">
            <w:pPr>
              <w:pStyle w:val="Akapitzlist"/>
              <w:numPr>
                <w:ilvl w:val="0"/>
                <w:numId w:val="13"/>
              </w:numPr>
              <w:ind w:left="426" w:hanging="284"/>
              <w:rPr>
                <w:rFonts w:cstheme="minorHAnsi"/>
              </w:rPr>
            </w:pPr>
            <w:r w:rsidRPr="00362D50">
              <w:rPr>
                <w:rFonts w:cstheme="minorHAnsi"/>
              </w:rPr>
              <w:t>Rozwój infrastruktury transportowej oraz integracji międzygałęziowej transportu</w:t>
            </w:r>
          </w:p>
          <w:p w14:paraId="09DEC11A" w14:textId="77777777" w:rsidR="009B7728" w:rsidRPr="00362D50" w:rsidRDefault="009B7728" w:rsidP="009B7728">
            <w:pPr>
              <w:pStyle w:val="Akapitzlist"/>
              <w:numPr>
                <w:ilvl w:val="0"/>
                <w:numId w:val="13"/>
              </w:numPr>
              <w:ind w:left="426" w:hanging="284"/>
              <w:rPr>
                <w:rFonts w:cstheme="minorHAnsi"/>
              </w:rPr>
            </w:pPr>
            <w:r w:rsidRPr="00362D50">
              <w:rPr>
                <w:rFonts w:cstheme="minorHAnsi"/>
              </w:rPr>
              <w:t>Poprawa dostępności komunikacyjnej wewnątrz regionu oraz rozwój transportu publicznego</w:t>
            </w:r>
          </w:p>
          <w:p w14:paraId="41A2AA02" w14:textId="77777777" w:rsidR="009B7728" w:rsidRPr="00362D50" w:rsidRDefault="009B7728" w:rsidP="009B7728">
            <w:pPr>
              <w:pStyle w:val="Akapitzlist"/>
              <w:numPr>
                <w:ilvl w:val="0"/>
                <w:numId w:val="13"/>
              </w:numPr>
              <w:ind w:left="426" w:hanging="284"/>
              <w:rPr>
                <w:rFonts w:cstheme="minorHAnsi"/>
              </w:rPr>
            </w:pPr>
            <w:r w:rsidRPr="00362D50">
              <w:rPr>
                <w:rFonts w:cstheme="minorHAnsi"/>
              </w:rPr>
              <w:t>Rozwój infrastruktury informacyjno-komunikacyjnej w regionie</w:t>
            </w:r>
          </w:p>
          <w:p w14:paraId="1860E4F9" w14:textId="77777777" w:rsidR="009B7728" w:rsidRPr="00362D50" w:rsidRDefault="009B7728" w:rsidP="009B7728">
            <w:pPr>
              <w:pStyle w:val="Akapitzlist"/>
              <w:numPr>
                <w:ilvl w:val="0"/>
                <w:numId w:val="13"/>
              </w:numPr>
              <w:ind w:left="426" w:hanging="284"/>
              <w:rPr>
                <w:rFonts w:cstheme="minorHAnsi"/>
              </w:rPr>
            </w:pPr>
            <w:r w:rsidRPr="00362D50">
              <w:rPr>
                <w:rFonts w:cstheme="minorHAnsi"/>
              </w:rPr>
              <w:t>Rozwój infrastruktury służącej prowadzeniu działalności gospodarczej i turystyki</w:t>
            </w:r>
          </w:p>
          <w:p w14:paraId="583CDA8E" w14:textId="77777777" w:rsidR="009B7728" w:rsidRPr="00362D50" w:rsidRDefault="009B7728" w:rsidP="009B7728">
            <w:pPr>
              <w:pStyle w:val="Akapitzlist"/>
              <w:numPr>
                <w:ilvl w:val="0"/>
                <w:numId w:val="13"/>
              </w:numPr>
              <w:spacing w:after="120"/>
              <w:ind w:left="426" w:hanging="284"/>
              <w:contextualSpacing w:val="0"/>
              <w:rPr>
                <w:rFonts w:cstheme="minorHAnsi"/>
              </w:rPr>
            </w:pPr>
            <w:r w:rsidRPr="00362D50">
              <w:rPr>
                <w:rFonts w:cstheme="minorHAnsi"/>
              </w:rPr>
              <w:t>Terytorialny wymiar Strategii obszar horyzontalny.</w:t>
            </w:r>
          </w:p>
          <w:p w14:paraId="319958F9" w14:textId="77777777" w:rsidR="009B7728" w:rsidRPr="00362D50" w:rsidRDefault="009B7728" w:rsidP="009B7728">
            <w:pPr>
              <w:rPr>
                <w:rFonts w:cstheme="minorHAnsi"/>
              </w:rPr>
            </w:pPr>
            <w:r w:rsidRPr="00362D50">
              <w:rPr>
                <w:rFonts w:cstheme="minorHAnsi"/>
              </w:rPr>
              <w:t>Zapisane w Programie obszary wsparcia stanowią jednocześnie wskazania inwestycyjne dla władz regionu, jak też wskazania o charakterze „lobbingowym” będące uzasadnieniem dla zabiegania o konkretne inwestycje centralne.</w:t>
            </w:r>
          </w:p>
          <w:p w14:paraId="62F704B3" w14:textId="77777777" w:rsidR="009B7728" w:rsidRPr="00362D50" w:rsidRDefault="009B7728" w:rsidP="009B7728">
            <w:pPr>
              <w:rPr>
                <w:rFonts w:cstheme="minorHAnsi"/>
              </w:rPr>
            </w:pPr>
            <w:r w:rsidRPr="00362D50">
              <w:rPr>
                <w:rFonts w:cstheme="minorHAnsi"/>
              </w:rPr>
              <w:t xml:space="preserve">Wśród działań wymienionych w PSRT wymieniono budowę i rozbudowę ponadregionalnych tras rowerowych oraz budowę i rozbudowę tras podkarpackich </w:t>
            </w:r>
            <w:proofErr w:type="spellStart"/>
            <w:r w:rsidRPr="00362D50">
              <w:rPr>
                <w:rFonts w:cstheme="minorHAnsi"/>
              </w:rPr>
              <w:t>odgałęzień</w:t>
            </w:r>
            <w:proofErr w:type="spellEnd"/>
            <w:r w:rsidRPr="00362D50">
              <w:rPr>
                <w:rFonts w:cstheme="minorHAnsi"/>
              </w:rPr>
              <w:t xml:space="preserve"> tras </w:t>
            </w:r>
            <w:r w:rsidRPr="00362D50">
              <w:rPr>
                <w:rFonts w:cstheme="minorHAnsi"/>
              </w:rPr>
              <w:br/>
              <w:t>o przebiegu ponadregionalnym oraz tras rowerowych połączonych z infrastrukturą do uprawiania turystyki wodnej</w:t>
            </w:r>
          </w:p>
          <w:p w14:paraId="397C225E" w14:textId="77777777" w:rsidR="009B7728" w:rsidRPr="00362D50" w:rsidRDefault="009B7728" w:rsidP="009B7728">
            <w:pPr>
              <w:pStyle w:val="Akapitzlist"/>
              <w:numPr>
                <w:ilvl w:val="0"/>
                <w:numId w:val="14"/>
              </w:numPr>
              <w:rPr>
                <w:rFonts w:cstheme="minorHAnsi"/>
              </w:rPr>
            </w:pPr>
            <w:r w:rsidRPr="00362D50">
              <w:rPr>
                <w:rFonts w:cstheme="minorHAnsi"/>
              </w:rPr>
              <w:t>Zapewnienie spójnego systemu tras rowerowych gwarantujących bezpieczeństwo w poruszaniu się.</w:t>
            </w:r>
          </w:p>
          <w:p w14:paraId="6A3F33BB" w14:textId="77777777" w:rsidR="009B7728" w:rsidRPr="00362D50" w:rsidRDefault="009B7728" w:rsidP="009B7728">
            <w:pPr>
              <w:pStyle w:val="Akapitzlist"/>
              <w:numPr>
                <w:ilvl w:val="0"/>
                <w:numId w:val="14"/>
              </w:numPr>
              <w:rPr>
                <w:rFonts w:cstheme="minorHAnsi"/>
              </w:rPr>
            </w:pPr>
            <w:r w:rsidRPr="00362D50">
              <w:rPr>
                <w:rFonts w:cstheme="minorHAnsi"/>
              </w:rPr>
              <w:t xml:space="preserve">Rozbudowa sieci turystycznych tras rowerowych na terenie Bieszczad i Beskidu Niskiego oraz włączenie ich do szlaku rowerowego Green </w:t>
            </w:r>
            <w:proofErr w:type="spellStart"/>
            <w:r w:rsidRPr="00362D50">
              <w:rPr>
                <w:rFonts w:cstheme="minorHAnsi"/>
              </w:rPr>
              <w:t>Velo</w:t>
            </w:r>
            <w:proofErr w:type="spellEnd"/>
            <w:r w:rsidRPr="00362D50">
              <w:rPr>
                <w:rFonts w:cstheme="minorHAnsi"/>
              </w:rPr>
              <w:t>.</w:t>
            </w:r>
          </w:p>
          <w:p w14:paraId="15B086FF" w14:textId="77777777" w:rsidR="009B7728" w:rsidRPr="00362D50" w:rsidRDefault="009B7728" w:rsidP="009B7728">
            <w:pPr>
              <w:pStyle w:val="Akapitzlist"/>
              <w:numPr>
                <w:ilvl w:val="0"/>
                <w:numId w:val="14"/>
              </w:numPr>
              <w:rPr>
                <w:rFonts w:cstheme="minorHAnsi"/>
              </w:rPr>
            </w:pPr>
            <w:r w:rsidRPr="00362D50">
              <w:rPr>
                <w:rFonts w:cstheme="minorHAnsi"/>
              </w:rPr>
              <w:t>Budowa zintegrowanej sieci podkarpackiego szlaku wodnego (poprzez stworzenie zintegrowanej wodnej infrastruktury turystycznej).</w:t>
            </w:r>
          </w:p>
          <w:p w14:paraId="303793FE" w14:textId="77777777" w:rsidR="009B7728" w:rsidRPr="00362D50" w:rsidRDefault="009B7728" w:rsidP="009B7728">
            <w:pPr>
              <w:pStyle w:val="Akapitzlist"/>
              <w:numPr>
                <w:ilvl w:val="0"/>
                <w:numId w:val="15"/>
              </w:numPr>
              <w:rPr>
                <w:rFonts w:cstheme="minorHAnsi"/>
              </w:rPr>
            </w:pPr>
            <w:r w:rsidRPr="00362D50">
              <w:rPr>
                <w:rFonts w:cstheme="minorHAnsi"/>
              </w:rPr>
              <w:t xml:space="preserve">Rozwój turystycznego transportu wodnego, w tym infrastruktury służącej ekologii (np. przystanie, mariny) np. Szlak wodny "Błękitny San" na rzece San. Rozwój zintegrowanej sieci ścieżek rowerowych, tras rowerowych, jako alternatywy </w:t>
            </w:r>
            <w:r w:rsidRPr="00362D50">
              <w:rPr>
                <w:rFonts w:cstheme="minorHAnsi"/>
              </w:rPr>
              <w:lastRenderedPageBreak/>
              <w:t xml:space="preserve">dla przemieszczania się na krótkich odcinkach oraz służących rekreacji (w tym szlaków </w:t>
            </w:r>
            <w:proofErr w:type="spellStart"/>
            <w:r w:rsidRPr="00362D50">
              <w:rPr>
                <w:rFonts w:cstheme="minorHAnsi"/>
              </w:rPr>
              <w:t>greenways</w:t>
            </w:r>
            <w:proofErr w:type="spellEnd"/>
            <w:r w:rsidRPr="00362D50">
              <w:rPr>
                <w:rFonts w:cstheme="minorHAnsi"/>
              </w:rPr>
              <w:t>).</w:t>
            </w:r>
          </w:p>
        </w:tc>
        <w:tc>
          <w:tcPr>
            <w:tcW w:w="4501" w:type="dxa"/>
          </w:tcPr>
          <w:p w14:paraId="5F354951" w14:textId="77777777" w:rsidR="009B7728" w:rsidRPr="00362D50" w:rsidRDefault="009B7728" w:rsidP="009B7728">
            <w:pPr>
              <w:rPr>
                <w:rFonts w:cstheme="minorHAnsi"/>
              </w:rPr>
            </w:pPr>
            <w:r w:rsidRPr="00362D50">
              <w:rPr>
                <w:rFonts w:cstheme="minorHAnsi"/>
              </w:rPr>
              <w:lastRenderedPageBreak/>
              <w:t xml:space="preserve">Projekt Koncepcji stanowi inicjatywę, której celem jest integracja i promocja turystyki aktywnej. Realizacja tego przedsięwzięcia przyczyni się do stworzenia spójnej, atrakcyjnej i zrównoważonej oferty turystycznej, </w:t>
            </w:r>
            <w:r w:rsidRPr="00362D50">
              <w:rPr>
                <w:rFonts w:cstheme="minorHAnsi"/>
              </w:rPr>
              <w:lastRenderedPageBreak/>
              <w:t>wykorzystującej bogactwo naturalne i kulturowe województwa podkarpackiego.</w:t>
            </w:r>
          </w:p>
          <w:p w14:paraId="1A4AA4A9" w14:textId="77777777" w:rsidR="009B7728" w:rsidRPr="00362D50" w:rsidRDefault="009B7728" w:rsidP="009B7728">
            <w:pPr>
              <w:rPr>
                <w:rFonts w:cstheme="minorHAnsi"/>
              </w:rPr>
            </w:pPr>
            <w:r w:rsidRPr="00362D50">
              <w:rPr>
                <w:rFonts w:cstheme="minorHAnsi"/>
              </w:rPr>
              <w:t xml:space="preserve">Projekt realizuje bezpośrednio działania wymienione w PSRT , w tym budowę i rozbudowę ponadregionalnych tras rowerowych oraz budowę i rozbudowę tras podkarpackich </w:t>
            </w:r>
            <w:proofErr w:type="spellStart"/>
            <w:r w:rsidRPr="00362D50">
              <w:rPr>
                <w:rFonts w:cstheme="minorHAnsi"/>
              </w:rPr>
              <w:t>odgałęzień</w:t>
            </w:r>
            <w:proofErr w:type="spellEnd"/>
            <w:r w:rsidRPr="00362D50">
              <w:rPr>
                <w:rFonts w:cstheme="minorHAnsi"/>
              </w:rPr>
              <w:t xml:space="preserve"> tras o przebiegu ponadregionalnym oraz tras rowerowych połączonych z infrastrukturą do uprawiania turystyki wodnej.</w:t>
            </w:r>
          </w:p>
          <w:p w14:paraId="3C9BA104" w14:textId="77777777" w:rsidR="009B7728" w:rsidRPr="00362D50" w:rsidRDefault="009B7728" w:rsidP="009B7728">
            <w:pPr>
              <w:rPr>
                <w:rFonts w:cstheme="minorHAnsi"/>
                <w:bCs/>
                <w:iCs/>
                <w:color w:val="000000"/>
              </w:rPr>
            </w:pPr>
            <w:r w:rsidRPr="00362D50">
              <w:rPr>
                <w:rFonts w:cstheme="minorHAnsi"/>
              </w:rPr>
              <w:t xml:space="preserve">Przyjęty kierunek interwencji projektu Koncepcji jest spójny z założeniami zawartymi </w:t>
            </w:r>
            <w:r w:rsidRPr="00362D50">
              <w:rPr>
                <w:rFonts w:cstheme="minorHAnsi"/>
                <w:bCs/>
                <w:iCs/>
                <w:color w:val="000000"/>
              </w:rPr>
              <w:t xml:space="preserve">PSRT WP do roku 2030 oraz realizuje bezpośrednio jego działania: </w:t>
            </w:r>
          </w:p>
          <w:p w14:paraId="397CE414" w14:textId="77777777" w:rsidR="009B7728" w:rsidRPr="00362D50" w:rsidRDefault="009B7728" w:rsidP="009B7728">
            <w:pPr>
              <w:pStyle w:val="Akapitzlist"/>
              <w:numPr>
                <w:ilvl w:val="0"/>
                <w:numId w:val="14"/>
              </w:numPr>
              <w:rPr>
                <w:rFonts w:cstheme="minorHAnsi"/>
              </w:rPr>
            </w:pPr>
            <w:r w:rsidRPr="00362D50">
              <w:rPr>
                <w:rFonts w:cstheme="minorHAnsi"/>
              </w:rPr>
              <w:t xml:space="preserve">zapewnienie spójnego systemu tras rowerowych; </w:t>
            </w:r>
          </w:p>
          <w:p w14:paraId="0746B400" w14:textId="77777777" w:rsidR="009B7728" w:rsidRPr="00362D50" w:rsidRDefault="009B7728" w:rsidP="009B7728">
            <w:pPr>
              <w:pStyle w:val="Akapitzlist"/>
              <w:numPr>
                <w:ilvl w:val="0"/>
                <w:numId w:val="14"/>
              </w:numPr>
              <w:rPr>
                <w:rFonts w:cstheme="minorHAnsi"/>
              </w:rPr>
            </w:pPr>
            <w:r w:rsidRPr="00362D50">
              <w:rPr>
                <w:rFonts w:cstheme="minorHAnsi"/>
              </w:rPr>
              <w:t xml:space="preserve">rozbudowa sieci turystycznych tras rowerowych; </w:t>
            </w:r>
          </w:p>
          <w:p w14:paraId="3E742A95" w14:textId="77777777" w:rsidR="009B7728" w:rsidRPr="00362D50" w:rsidRDefault="009B7728" w:rsidP="009B7728">
            <w:pPr>
              <w:pStyle w:val="Akapitzlist"/>
              <w:numPr>
                <w:ilvl w:val="0"/>
                <w:numId w:val="14"/>
              </w:numPr>
              <w:rPr>
                <w:rFonts w:cstheme="minorHAnsi"/>
              </w:rPr>
            </w:pPr>
            <w:r w:rsidRPr="00362D50">
              <w:rPr>
                <w:rFonts w:cstheme="minorHAnsi"/>
              </w:rPr>
              <w:t xml:space="preserve">budowa zintegrowanej sieci podkarpackiego szlaku wodnego (poprzez stworzenie zintegrowanej wodnej infrastruktury turystycznej); </w:t>
            </w:r>
          </w:p>
          <w:p w14:paraId="09927405" w14:textId="77777777" w:rsidR="009B7728" w:rsidRPr="00362D50" w:rsidRDefault="009B7728" w:rsidP="009B7728">
            <w:pPr>
              <w:pStyle w:val="Akapitzlist"/>
              <w:numPr>
                <w:ilvl w:val="0"/>
                <w:numId w:val="14"/>
              </w:numPr>
              <w:rPr>
                <w:rFonts w:cstheme="minorHAnsi"/>
              </w:rPr>
            </w:pPr>
            <w:r w:rsidRPr="00362D50">
              <w:rPr>
                <w:rFonts w:cstheme="minorHAnsi"/>
              </w:rPr>
              <w:t xml:space="preserve">rozwój turystycznego transportu wodnego, w tym infrastruktury służącej ekologii (np. przystanie, mariny) np. Szlak wodny "Błękitny San" na rzece San; </w:t>
            </w:r>
          </w:p>
          <w:p w14:paraId="527987C8" w14:textId="77777777" w:rsidR="009B7728" w:rsidRPr="00362D50" w:rsidRDefault="009B7728" w:rsidP="009B7728">
            <w:pPr>
              <w:pStyle w:val="Akapitzlist"/>
              <w:numPr>
                <w:ilvl w:val="0"/>
                <w:numId w:val="14"/>
              </w:numPr>
              <w:rPr>
                <w:rFonts w:cstheme="minorHAnsi"/>
              </w:rPr>
            </w:pPr>
            <w:r w:rsidRPr="00362D50">
              <w:rPr>
                <w:rFonts w:cstheme="minorHAnsi"/>
              </w:rPr>
              <w:t xml:space="preserve">rozwój zintegrowanej sieci ścieżek rowerowych służących rekreacji. </w:t>
            </w:r>
          </w:p>
        </w:tc>
      </w:tr>
      <w:tr w:rsidR="009B7728" w:rsidRPr="00362D50" w14:paraId="1B23F7D3" w14:textId="77777777" w:rsidTr="00145C6D">
        <w:tc>
          <w:tcPr>
            <w:tcW w:w="3211" w:type="dxa"/>
          </w:tcPr>
          <w:p w14:paraId="09041666" w14:textId="77777777" w:rsidR="009B7728" w:rsidRPr="00362D50" w:rsidRDefault="009B7728" w:rsidP="009B7728">
            <w:pPr>
              <w:pStyle w:val="NormalnyWeb"/>
              <w:shd w:val="clear" w:color="auto" w:fill="FFFFFF"/>
              <w:spacing w:before="0" w:beforeAutospacing="0" w:after="0" w:afterAutospacing="0"/>
              <w:rPr>
                <w:rStyle w:val="Uwydatnienie"/>
                <w:rFonts w:asciiTheme="minorHAnsi" w:hAnsiTheme="minorHAnsi" w:cstheme="minorHAnsi"/>
                <w:bCs/>
                <w:i w:val="0"/>
                <w:iCs w:val="0"/>
                <w:color w:val="000000"/>
                <w:sz w:val="22"/>
                <w:szCs w:val="22"/>
              </w:rPr>
            </w:pPr>
            <w:r w:rsidRPr="00362D50">
              <w:rPr>
                <w:rFonts w:asciiTheme="minorHAnsi" w:hAnsiTheme="minorHAnsi" w:cstheme="minorHAnsi"/>
                <w:sz w:val="22"/>
                <w:szCs w:val="22"/>
              </w:rPr>
              <w:lastRenderedPageBreak/>
              <w:t>Strategia Rozwoju Województwa – Podkarpackie 2030 przyjęta Uchwałą XXVII/458/20 Sejmiku Województwa Podkarpackiego z dnia 28 września 2020 r.</w:t>
            </w:r>
          </w:p>
        </w:tc>
        <w:tc>
          <w:tcPr>
            <w:tcW w:w="6282" w:type="dxa"/>
          </w:tcPr>
          <w:p w14:paraId="7CDBEE17" w14:textId="77777777" w:rsidR="009B7728" w:rsidRPr="00362D50" w:rsidRDefault="009B7728" w:rsidP="009B7728">
            <w:pPr>
              <w:rPr>
                <w:rFonts w:eastAsia="Times New Roman" w:cstheme="minorHAnsi"/>
                <w:lang w:eastAsia="pl-PL"/>
              </w:rPr>
            </w:pPr>
            <w:r w:rsidRPr="00362D50">
              <w:rPr>
                <w:rFonts w:eastAsia="Times New Roman" w:cstheme="minorHAnsi"/>
                <w:lang w:eastAsia="pl-PL"/>
              </w:rPr>
              <w:t xml:space="preserve">Głównym celem strategii jest odpowiedzialne i efektywne wykorzystanie zasobów </w:t>
            </w:r>
            <w:proofErr w:type="spellStart"/>
            <w:r w:rsidRPr="00362D50">
              <w:rPr>
                <w:rFonts w:eastAsia="Times New Roman" w:cstheme="minorHAnsi"/>
                <w:lang w:eastAsia="pl-PL"/>
              </w:rPr>
              <w:t>endo</w:t>
            </w:r>
            <w:proofErr w:type="spellEnd"/>
            <w:r w:rsidRPr="00362D50">
              <w:rPr>
                <w:rFonts w:eastAsia="Times New Roman" w:cstheme="minorHAnsi"/>
                <w:lang w:eastAsia="pl-PL"/>
              </w:rPr>
              <w:t>- i egzogenicznych regionu, zapewniające trwały, zrównoważony i terytorialnie równomierny rozwój gospodarczy oraz wysoką jakość życia mieszkańców województwa. Cele te realizowane są w 4 obszarach tematycznych:</w:t>
            </w:r>
          </w:p>
          <w:p w14:paraId="1C49DA8C" w14:textId="77777777" w:rsidR="009B7728" w:rsidRPr="00362D50" w:rsidRDefault="009B7728" w:rsidP="009B7728">
            <w:pPr>
              <w:pStyle w:val="Akapitzlist"/>
              <w:numPr>
                <w:ilvl w:val="0"/>
                <w:numId w:val="5"/>
              </w:numPr>
              <w:rPr>
                <w:rFonts w:eastAsia="Times New Roman" w:cstheme="minorHAnsi"/>
                <w:lang w:eastAsia="pl-PL"/>
              </w:rPr>
            </w:pPr>
            <w:r w:rsidRPr="00362D50">
              <w:rPr>
                <w:rFonts w:eastAsia="Times New Roman" w:cstheme="minorHAnsi"/>
                <w:lang w:eastAsia="pl-PL"/>
              </w:rPr>
              <w:t>gospodarka i nauka</w:t>
            </w:r>
          </w:p>
          <w:p w14:paraId="5851FFCE" w14:textId="77777777" w:rsidR="009B7728" w:rsidRPr="00362D50" w:rsidRDefault="009B7728" w:rsidP="009B7728">
            <w:pPr>
              <w:pStyle w:val="Akapitzlist"/>
              <w:numPr>
                <w:ilvl w:val="0"/>
                <w:numId w:val="5"/>
              </w:numPr>
              <w:rPr>
                <w:rFonts w:eastAsia="Times New Roman" w:cstheme="minorHAnsi"/>
                <w:lang w:eastAsia="pl-PL"/>
              </w:rPr>
            </w:pPr>
            <w:r w:rsidRPr="00362D50">
              <w:rPr>
                <w:rFonts w:eastAsia="Times New Roman" w:cstheme="minorHAnsi"/>
                <w:lang w:eastAsia="pl-PL"/>
              </w:rPr>
              <w:t>kapitał ludzki i społeczny</w:t>
            </w:r>
          </w:p>
          <w:p w14:paraId="5CCF5E99" w14:textId="77777777" w:rsidR="009B7728" w:rsidRPr="00362D50" w:rsidRDefault="009B7728" w:rsidP="009B7728">
            <w:pPr>
              <w:pStyle w:val="Akapitzlist"/>
              <w:numPr>
                <w:ilvl w:val="0"/>
                <w:numId w:val="5"/>
              </w:numPr>
              <w:rPr>
                <w:rFonts w:eastAsia="Times New Roman" w:cstheme="minorHAnsi"/>
                <w:lang w:eastAsia="pl-PL"/>
              </w:rPr>
            </w:pPr>
            <w:r w:rsidRPr="00362D50">
              <w:rPr>
                <w:rFonts w:eastAsia="Times New Roman" w:cstheme="minorHAnsi"/>
                <w:lang w:eastAsia="pl-PL"/>
              </w:rPr>
              <w:t>infrastruktura dla zrównoważonego rozwoju i środowiska</w:t>
            </w:r>
          </w:p>
          <w:p w14:paraId="1A6CE87A" w14:textId="77777777" w:rsidR="009B7728" w:rsidRPr="00362D50" w:rsidRDefault="009B7728" w:rsidP="009B7728">
            <w:pPr>
              <w:pStyle w:val="Akapitzlist"/>
              <w:numPr>
                <w:ilvl w:val="0"/>
                <w:numId w:val="5"/>
              </w:numPr>
              <w:rPr>
                <w:rFonts w:eastAsia="Times New Roman" w:cstheme="minorHAnsi"/>
                <w:lang w:eastAsia="pl-PL"/>
              </w:rPr>
            </w:pPr>
            <w:r w:rsidRPr="00362D50">
              <w:rPr>
                <w:rFonts w:eastAsia="Times New Roman" w:cstheme="minorHAnsi"/>
                <w:lang w:eastAsia="pl-PL"/>
              </w:rPr>
              <w:t xml:space="preserve">dostępność usług </w:t>
            </w:r>
          </w:p>
          <w:p w14:paraId="5F1F6271" w14:textId="77777777" w:rsidR="009B7728" w:rsidRPr="00362D50" w:rsidRDefault="009B7728" w:rsidP="009B7728">
            <w:pPr>
              <w:rPr>
                <w:rFonts w:cstheme="minorHAnsi"/>
                <w:b/>
                <w:bCs/>
              </w:rPr>
            </w:pPr>
            <w:r w:rsidRPr="00362D50">
              <w:rPr>
                <w:rFonts w:cstheme="minorHAnsi"/>
              </w:rPr>
              <w:t xml:space="preserve">Interwencje podejmowane w ramach obszaru </w:t>
            </w:r>
            <w:r w:rsidRPr="00362D50">
              <w:rPr>
                <w:rFonts w:eastAsia="Times New Roman" w:cstheme="minorHAnsi"/>
                <w:lang w:eastAsia="pl-PL"/>
              </w:rPr>
              <w:t xml:space="preserve">infrastruktura dla zrównoważonego rozwoju i środowiska dotyczą m.in. rozwoju </w:t>
            </w:r>
            <w:r w:rsidRPr="00362D50">
              <w:rPr>
                <w:rFonts w:cstheme="minorHAnsi"/>
              </w:rPr>
              <w:t xml:space="preserve">infrastruktury służącej prowadzeniu działalności gospodarczej i turystyki. </w:t>
            </w:r>
            <w:r w:rsidRPr="00362D50">
              <w:rPr>
                <w:rFonts w:cstheme="minorHAnsi"/>
                <w:bCs/>
              </w:rPr>
              <w:t>Działania mają na celu rozwój</w:t>
            </w:r>
            <w:r w:rsidRPr="00362D50">
              <w:rPr>
                <w:rFonts w:cstheme="minorHAnsi"/>
              </w:rPr>
              <w:t xml:space="preserve"> kompetencji turystycznych województwa poprzez budowę kompleksów turystyczno-rekreacyjno-wypoczynkowych, w oparciu o istniejące zasoby endogeniczne oraz nakłady na poprawę dostępności i ekspozycji turystycznej terenów, miejsc i obiektów reprezentujących unikatowe dziedzictwo przyrodnicze i kulturowe regionu. Konieczny będzie również rozwój turystyki aktywnej i tematycznej, promocja turystycznego transportu wodnego. Zakładane w tym obszarze działania do realizacji to</w:t>
            </w:r>
            <w:r w:rsidRPr="00362D50">
              <w:rPr>
                <w:rFonts w:cstheme="minorHAnsi"/>
                <w:b/>
                <w:bCs/>
              </w:rPr>
              <w:t>:</w:t>
            </w:r>
          </w:p>
          <w:p w14:paraId="521065E3" w14:textId="77777777" w:rsidR="009B7728" w:rsidRPr="00362D50" w:rsidRDefault="009B7728" w:rsidP="009B7728">
            <w:pPr>
              <w:numPr>
                <w:ilvl w:val="0"/>
                <w:numId w:val="4"/>
              </w:numPr>
              <w:ind w:left="425" w:hanging="357"/>
              <w:contextualSpacing/>
              <w:rPr>
                <w:rFonts w:eastAsia="Times New Roman" w:cstheme="minorHAnsi"/>
              </w:rPr>
            </w:pPr>
            <w:r w:rsidRPr="00362D50">
              <w:rPr>
                <w:rFonts w:cstheme="minorHAnsi"/>
              </w:rPr>
              <w:t>rozwój produktów turystycznych w województwie przez budowę kompleksów turystyczno-rekreacyjno-wypoczynkowych w oparciu o istniejące zasoby przyrodnicze;</w:t>
            </w:r>
          </w:p>
          <w:p w14:paraId="5A219153" w14:textId="77777777" w:rsidR="009B7728" w:rsidRPr="00362D50" w:rsidRDefault="009B7728" w:rsidP="009B7728">
            <w:pPr>
              <w:numPr>
                <w:ilvl w:val="0"/>
                <w:numId w:val="4"/>
              </w:numPr>
              <w:ind w:left="425" w:hanging="357"/>
              <w:contextualSpacing/>
              <w:rPr>
                <w:rFonts w:eastAsia="Times New Roman" w:cstheme="minorHAnsi"/>
              </w:rPr>
            </w:pPr>
            <w:r w:rsidRPr="00362D50">
              <w:rPr>
                <w:rFonts w:cstheme="minorHAnsi"/>
              </w:rPr>
              <w:t>wsparcie systemu promocji produktów turystycznych województwa;</w:t>
            </w:r>
          </w:p>
          <w:p w14:paraId="54D11184" w14:textId="77777777" w:rsidR="009B7728" w:rsidRPr="00362D50" w:rsidRDefault="009B7728" w:rsidP="009B7728">
            <w:pPr>
              <w:numPr>
                <w:ilvl w:val="0"/>
                <w:numId w:val="4"/>
              </w:numPr>
              <w:ind w:left="425" w:hanging="357"/>
              <w:contextualSpacing/>
              <w:rPr>
                <w:rFonts w:eastAsia="Times New Roman" w:cstheme="minorHAnsi"/>
              </w:rPr>
            </w:pPr>
            <w:r w:rsidRPr="00362D50">
              <w:rPr>
                <w:rFonts w:cstheme="minorHAnsi"/>
              </w:rPr>
              <w:t>poprawa dostępności i ekspozycji turystycznej terenów, miejsc i obiektów reprezentujących unikatowe dziedzictwo przyrodnicze i kulturowe regionu;</w:t>
            </w:r>
          </w:p>
          <w:p w14:paraId="7399D229" w14:textId="77777777" w:rsidR="009B7728" w:rsidRPr="00362D50" w:rsidRDefault="009B7728" w:rsidP="009B7728">
            <w:pPr>
              <w:numPr>
                <w:ilvl w:val="0"/>
                <w:numId w:val="4"/>
              </w:numPr>
              <w:ind w:left="425" w:hanging="357"/>
              <w:contextualSpacing/>
              <w:rPr>
                <w:rFonts w:eastAsia="Times New Roman" w:cstheme="minorHAnsi"/>
              </w:rPr>
            </w:pPr>
            <w:r w:rsidRPr="00362D50">
              <w:rPr>
                <w:rFonts w:cstheme="minorHAnsi"/>
              </w:rPr>
              <w:lastRenderedPageBreak/>
              <w:t>rozwój i poprawa stanu infrastruktury dla turystyki m.in. uzdrowiskowej, wypoczynkowej, aktywnej i tematycznej;</w:t>
            </w:r>
          </w:p>
          <w:p w14:paraId="6F206D99" w14:textId="77777777" w:rsidR="009B7728" w:rsidRPr="00362D50" w:rsidRDefault="009B7728" w:rsidP="009B7728">
            <w:pPr>
              <w:numPr>
                <w:ilvl w:val="0"/>
                <w:numId w:val="4"/>
              </w:numPr>
              <w:ind w:left="425" w:hanging="357"/>
              <w:contextualSpacing/>
              <w:rPr>
                <w:rFonts w:eastAsia="Times New Roman" w:cstheme="minorHAnsi"/>
              </w:rPr>
            </w:pPr>
            <w:r w:rsidRPr="00362D50">
              <w:rPr>
                <w:rFonts w:cstheme="minorHAnsi"/>
              </w:rPr>
              <w:t>rozwój turystycznego transportu wodnego, w tym infrastruktury;</w:t>
            </w:r>
          </w:p>
          <w:p w14:paraId="4A19666A" w14:textId="77777777" w:rsidR="009B7728" w:rsidRPr="00362D50" w:rsidRDefault="009B7728" w:rsidP="009B7728">
            <w:pPr>
              <w:numPr>
                <w:ilvl w:val="0"/>
                <w:numId w:val="4"/>
              </w:numPr>
              <w:ind w:left="425" w:hanging="357"/>
              <w:contextualSpacing/>
              <w:rPr>
                <w:rFonts w:cstheme="minorHAnsi"/>
              </w:rPr>
            </w:pPr>
            <w:r w:rsidRPr="00362D50">
              <w:rPr>
                <w:rFonts w:eastAsia="Times New Roman" w:cstheme="minorHAnsi"/>
              </w:rPr>
              <w:t xml:space="preserve">rozwój zintegrowanej sieci ścieżek rowerowych, tras rowerowych, w tym szlaków (ang. </w:t>
            </w:r>
            <w:proofErr w:type="spellStart"/>
            <w:r w:rsidRPr="00362D50">
              <w:rPr>
                <w:rFonts w:eastAsia="Times New Roman" w:cstheme="minorHAnsi"/>
                <w:i/>
                <w:iCs/>
              </w:rPr>
              <w:t>greenways</w:t>
            </w:r>
            <w:proofErr w:type="spellEnd"/>
            <w:r w:rsidRPr="00362D50">
              <w:rPr>
                <w:rFonts w:eastAsia="Times New Roman" w:cstheme="minorHAnsi"/>
                <w:i/>
                <w:iCs/>
              </w:rPr>
              <w:t>)</w:t>
            </w:r>
            <w:r w:rsidRPr="00362D50">
              <w:rPr>
                <w:rFonts w:eastAsia="Times New Roman" w:cstheme="minorHAnsi"/>
              </w:rPr>
              <w:t>.</w:t>
            </w:r>
          </w:p>
        </w:tc>
        <w:tc>
          <w:tcPr>
            <w:tcW w:w="4501" w:type="dxa"/>
          </w:tcPr>
          <w:p w14:paraId="4B7AD6A2" w14:textId="77777777" w:rsidR="009B7728" w:rsidRDefault="009B7728" w:rsidP="009B7728">
            <w:pPr>
              <w:rPr>
                <w:rFonts w:cstheme="minorHAnsi"/>
              </w:rPr>
            </w:pPr>
            <w:r w:rsidRPr="00362D50">
              <w:rPr>
                <w:rFonts w:cstheme="minorHAnsi"/>
              </w:rPr>
              <w:lastRenderedPageBreak/>
              <w:t xml:space="preserve">Projekt Koncepcji stanowi inicjatywę, której celem jest integracja i promocja turystyki aktywnej. Realizacja tego przedsięwzięcia przyczyni się </w:t>
            </w:r>
            <w:r w:rsidRPr="00362D50">
              <w:rPr>
                <w:rFonts w:cstheme="minorHAnsi"/>
                <w:bCs/>
              </w:rPr>
              <w:t>rozw</w:t>
            </w:r>
            <w:r>
              <w:rPr>
                <w:rFonts w:cstheme="minorHAnsi"/>
                <w:bCs/>
              </w:rPr>
              <w:t>oju</w:t>
            </w:r>
            <w:r w:rsidRPr="00362D50">
              <w:rPr>
                <w:rFonts w:cstheme="minorHAnsi"/>
              </w:rPr>
              <w:t xml:space="preserve"> kompetencji turystycznych województwa</w:t>
            </w:r>
            <w:r>
              <w:rPr>
                <w:rFonts w:cstheme="minorHAnsi"/>
              </w:rPr>
              <w:t xml:space="preserve">. </w:t>
            </w:r>
            <w:r w:rsidRPr="00362D50">
              <w:rPr>
                <w:rFonts w:cstheme="minorHAnsi"/>
              </w:rPr>
              <w:t xml:space="preserve">Projekt realizuje bezpośrednio działania wymienione w </w:t>
            </w:r>
            <w:r>
              <w:rPr>
                <w:rFonts w:cstheme="minorHAnsi"/>
              </w:rPr>
              <w:t>Strategii</w:t>
            </w:r>
            <w:r w:rsidRPr="00362D50">
              <w:rPr>
                <w:rFonts w:cstheme="minorHAnsi"/>
              </w:rPr>
              <w:t xml:space="preserve">, w tym </w:t>
            </w:r>
            <w:r>
              <w:rPr>
                <w:rFonts w:cstheme="minorHAnsi"/>
              </w:rPr>
              <w:t xml:space="preserve">w szczególności </w:t>
            </w:r>
            <w:r w:rsidRPr="00362D50">
              <w:rPr>
                <w:rFonts w:cstheme="minorHAnsi"/>
              </w:rPr>
              <w:t>rozwój i popraw</w:t>
            </w:r>
            <w:r>
              <w:rPr>
                <w:rFonts w:cstheme="minorHAnsi"/>
              </w:rPr>
              <w:t>ę</w:t>
            </w:r>
            <w:r w:rsidRPr="00362D50">
              <w:rPr>
                <w:rFonts w:cstheme="minorHAnsi"/>
              </w:rPr>
              <w:t xml:space="preserve"> stanu infrastruktury dla turystyki aktywnej i tematycznej</w:t>
            </w:r>
            <w:r w:rsidRPr="00362D50">
              <w:rPr>
                <w:rFonts w:eastAsia="Times New Roman" w:cstheme="minorHAnsi"/>
              </w:rPr>
              <w:t xml:space="preserve"> </w:t>
            </w:r>
            <w:r>
              <w:rPr>
                <w:rFonts w:eastAsia="Times New Roman" w:cstheme="minorHAnsi"/>
              </w:rPr>
              <w:t xml:space="preserve">oraz </w:t>
            </w:r>
            <w:r w:rsidRPr="00362D50">
              <w:rPr>
                <w:rFonts w:eastAsia="Times New Roman" w:cstheme="minorHAnsi"/>
              </w:rPr>
              <w:t xml:space="preserve">rozwój zintegrowanej sieci ścieżek rowerowych, tras rowerowych, w tym szlaków (ang. </w:t>
            </w:r>
            <w:proofErr w:type="spellStart"/>
            <w:r w:rsidRPr="00362D50">
              <w:rPr>
                <w:rFonts w:eastAsia="Times New Roman" w:cstheme="minorHAnsi"/>
                <w:i/>
                <w:iCs/>
              </w:rPr>
              <w:t>greenways</w:t>
            </w:r>
            <w:proofErr w:type="spellEnd"/>
            <w:r w:rsidRPr="00362D50">
              <w:rPr>
                <w:rFonts w:eastAsia="Times New Roman" w:cstheme="minorHAnsi"/>
                <w:i/>
                <w:iCs/>
              </w:rPr>
              <w:t>)</w:t>
            </w:r>
            <w:r w:rsidRPr="00362D50">
              <w:rPr>
                <w:rFonts w:eastAsia="Times New Roman" w:cstheme="minorHAnsi"/>
              </w:rPr>
              <w:t>.</w:t>
            </w:r>
            <w:r>
              <w:rPr>
                <w:rFonts w:eastAsia="Times New Roman" w:cstheme="minorHAnsi"/>
              </w:rPr>
              <w:t xml:space="preserve"> Zaplanowana w Projekcie Koncepcji </w:t>
            </w:r>
            <w:r w:rsidRPr="00362D50">
              <w:rPr>
                <w:rFonts w:cstheme="minorHAnsi"/>
              </w:rPr>
              <w:t>budow</w:t>
            </w:r>
            <w:r>
              <w:rPr>
                <w:rFonts w:cstheme="minorHAnsi"/>
              </w:rPr>
              <w:t>a</w:t>
            </w:r>
            <w:r w:rsidRPr="00362D50">
              <w:rPr>
                <w:rFonts w:cstheme="minorHAnsi"/>
              </w:rPr>
              <w:t xml:space="preserve"> i rozbudow</w:t>
            </w:r>
            <w:r>
              <w:rPr>
                <w:rFonts w:cstheme="minorHAnsi"/>
              </w:rPr>
              <w:t>a</w:t>
            </w:r>
            <w:r w:rsidRPr="00362D50">
              <w:rPr>
                <w:rFonts w:cstheme="minorHAnsi"/>
              </w:rPr>
              <w:t xml:space="preserve"> tras rowerowych oraz tras rowerowych połączonych z infrastrukturą do uprawiania turystyki wodnej</w:t>
            </w:r>
          </w:p>
          <w:p w14:paraId="4288F4CB" w14:textId="77777777" w:rsidR="009B7728" w:rsidRPr="00362D50" w:rsidRDefault="009B7728" w:rsidP="009B7728">
            <w:pPr>
              <w:rPr>
                <w:rFonts w:cstheme="minorHAnsi"/>
              </w:rPr>
            </w:pPr>
            <w:r>
              <w:rPr>
                <w:rFonts w:cstheme="minorHAnsi"/>
              </w:rPr>
              <w:t>bezpośrednio wpisuje się w cele Strategii, a p</w:t>
            </w:r>
            <w:r w:rsidRPr="00362D50">
              <w:rPr>
                <w:rFonts w:cstheme="minorHAnsi"/>
              </w:rPr>
              <w:t>rzyjęty kierunek interwencji projektu Koncepcji</w:t>
            </w:r>
            <w:r>
              <w:rPr>
                <w:rFonts w:cstheme="minorHAnsi"/>
              </w:rPr>
              <w:t xml:space="preserve"> jest zgodny z zapisami Strategii.</w:t>
            </w:r>
          </w:p>
        </w:tc>
      </w:tr>
      <w:tr w:rsidR="009B7728" w:rsidRPr="00362D50" w14:paraId="5A8E28EF" w14:textId="77777777" w:rsidTr="00145C6D">
        <w:tc>
          <w:tcPr>
            <w:tcW w:w="3211" w:type="dxa"/>
          </w:tcPr>
          <w:p w14:paraId="4DE71897" w14:textId="77777777" w:rsidR="009B7728" w:rsidRPr="00362D50" w:rsidRDefault="009B7728" w:rsidP="009B7728">
            <w:pPr>
              <w:rPr>
                <w:rFonts w:cstheme="minorHAnsi"/>
              </w:rPr>
            </w:pPr>
            <w:r w:rsidRPr="00362D50">
              <w:rPr>
                <w:rFonts w:cstheme="minorHAnsi"/>
              </w:rPr>
              <w:t xml:space="preserve">Plan Zagospodarowania Przestrzennego Województwa Podkarpackiego </w:t>
            </w:r>
            <w:r w:rsidRPr="00362D50">
              <w:rPr>
                <w:rFonts w:cstheme="minorHAnsi"/>
                <w:color w:val="000000"/>
                <w:shd w:val="clear" w:color="auto" w:fill="FFFFFF"/>
              </w:rPr>
              <w:t>przyjęty uchwałą nr LIX/930/18 Sejmiku Województwa Podkarpackiego z dnia 27 sierpnia 2018r. zmieniającą uchwałę w sprawie uchwalenia Planu Zagospodarowania Przestrzennego Województwa Podkarpackiego opublikowaną w Dzienniku Urzędowym Województwa Podkarpackiego z dnia 18 września 2018r. poz. 3937</w:t>
            </w:r>
          </w:p>
        </w:tc>
        <w:tc>
          <w:tcPr>
            <w:tcW w:w="6282" w:type="dxa"/>
          </w:tcPr>
          <w:p w14:paraId="35A748E0" w14:textId="77777777" w:rsidR="009B7728" w:rsidRPr="00816571" w:rsidRDefault="009B7728" w:rsidP="009B7728">
            <w:pPr>
              <w:pStyle w:val="Default"/>
              <w:rPr>
                <w:rFonts w:asciiTheme="minorHAnsi" w:hAnsiTheme="minorHAnsi" w:cstheme="minorHAnsi"/>
                <w:color w:val="auto"/>
                <w:sz w:val="22"/>
                <w:szCs w:val="22"/>
              </w:rPr>
            </w:pPr>
            <w:r w:rsidRPr="00362D50">
              <w:rPr>
                <w:rFonts w:asciiTheme="minorHAnsi" w:hAnsiTheme="minorHAnsi" w:cstheme="minorHAnsi"/>
                <w:color w:val="auto"/>
                <w:sz w:val="22"/>
                <w:szCs w:val="22"/>
              </w:rPr>
              <w:t>Plan zagospodarowania przestrzennego jest dokumentem określającym politykę zagospodarowania przestrzennego samorządu województwa.</w:t>
            </w:r>
            <w:r w:rsidRPr="00362D50">
              <w:rPr>
                <w:rFonts w:asciiTheme="minorHAnsi" w:hAnsiTheme="minorHAnsi" w:cstheme="minorHAnsi"/>
                <w:sz w:val="22"/>
                <w:szCs w:val="22"/>
              </w:rPr>
              <w:t xml:space="preserve"> Określone </w:t>
            </w:r>
            <w:r w:rsidRPr="00816571">
              <w:rPr>
                <w:rFonts w:asciiTheme="minorHAnsi" w:hAnsiTheme="minorHAnsi" w:cstheme="minorHAnsi"/>
                <w:color w:val="auto"/>
                <w:sz w:val="22"/>
                <w:szCs w:val="22"/>
              </w:rPr>
              <w:t>w nim kierunki zagospodarowania przestrzennego będzie wdrażał i realizował Samorząd Województwa. Plan określa przede wszystkim wizję rozwoju województwa, określoną w oparciu o zdefiniowane uwarunkowania oraz ustalenia Strategii Rozwoju Województwa – Podkarpackie 2020 oraz kierunki rozwoju i polityk</w:t>
            </w:r>
            <w:r>
              <w:rPr>
                <w:rFonts w:asciiTheme="minorHAnsi" w:hAnsiTheme="minorHAnsi" w:cstheme="minorHAnsi"/>
                <w:color w:val="auto"/>
                <w:sz w:val="22"/>
                <w:szCs w:val="22"/>
              </w:rPr>
              <w:t>ę</w:t>
            </w:r>
            <w:r w:rsidRPr="00816571">
              <w:rPr>
                <w:rFonts w:asciiTheme="minorHAnsi" w:hAnsiTheme="minorHAnsi" w:cstheme="minorHAnsi"/>
                <w:color w:val="auto"/>
                <w:sz w:val="22"/>
                <w:szCs w:val="22"/>
              </w:rPr>
              <w:t xml:space="preserve"> przestrzenną w następujących dziedzinach: </w:t>
            </w:r>
          </w:p>
          <w:p w14:paraId="6DA3820E" w14:textId="77777777" w:rsidR="009B7728" w:rsidRPr="00816571" w:rsidRDefault="009B7728" w:rsidP="009B7728">
            <w:pPr>
              <w:pStyle w:val="Default"/>
              <w:numPr>
                <w:ilvl w:val="0"/>
                <w:numId w:val="16"/>
              </w:numPr>
              <w:rPr>
                <w:rFonts w:asciiTheme="minorHAnsi" w:hAnsiTheme="minorHAnsi" w:cstheme="minorHAnsi"/>
                <w:color w:val="auto"/>
                <w:sz w:val="22"/>
                <w:szCs w:val="22"/>
              </w:rPr>
            </w:pPr>
            <w:r w:rsidRPr="00816571">
              <w:rPr>
                <w:rFonts w:asciiTheme="minorHAnsi" w:hAnsiTheme="minorHAnsi" w:cstheme="minorHAnsi"/>
                <w:color w:val="auto"/>
                <w:sz w:val="22"/>
                <w:szCs w:val="22"/>
              </w:rPr>
              <w:t>osadnictwo;</w:t>
            </w:r>
          </w:p>
          <w:p w14:paraId="34C13445" w14:textId="77777777" w:rsidR="009B7728" w:rsidRPr="00816571" w:rsidRDefault="009B7728" w:rsidP="009B7728">
            <w:pPr>
              <w:pStyle w:val="Default"/>
              <w:numPr>
                <w:ilvl w:val="0"/>
                <w:numId w:val="16"/>
              </w:numPr>
              <w:rPr>
                <w:rFonts w:asciiTheme="minorHAnsi" w:hAnsiTheme="minorHAnsi" w:cstheme="minorHAnsi"/>
                <w:color w:val="auto"/>
                <w:sz w:val="22"/>
                <w:szCs w:val="22"/>
              </w:rPr>
            </w:pPr>
            <w:r w:rsidRPr="00816571">
              <w:rPr>
                <w:rFonts w:asciiTheme="minorHAnsi" w:hAnsiTheme="minorHAnsi" w:cstheme="minorHAnsi"/>
                <w:color w:val="auto"/>
                <w:sz w:val="22"/>
                <w:szCs w:val="22"/>
              </w:rPr>
              <w:t>środowisko;</w:t>
            </w:r>
          </w:p>
          <w:p w14:paraId="72FF052B" w14:textId="77777777" w:rsidR="009B7728" w:rsidRPr="00816571" w:rsidRDefault="009B7728" w:rsidP="009B7728">
            <w:pPr>
              <w:pStyle w:val="Default"/>
              <w:numPr>
                <w:ilvl w:val="0"/>
                <w:numId w:val="16"/>
              </w:numPr>
              <w:rPr>
                <w:rFonts w:asciiTheme="minorHAnsi" w:hAnsiTheme="minorHAnsi" w:cstheme="minorHAnsi"/>
                <w:color w:val="auto"/>
                <w:sz w:val="22"/>
                <w:szCs w:val="22"/>
              </w:rPr>
            </w:pPr>
            <w:r w:rsidRPr="00816571">
              <w:rPr>
                <w:rFonts w:asciiTheme="minorHAnsi" w:hAnsiTheme="minorHAnsi" w:cstheme="minorHAnsi"/>
                <w:color w:val="auto"/>
                <w:sz w:val="22"/>
                <w:szCs w:val="22"/>
              </w:rPr>
              <w:t>infrastruktura społeczno-gospodarcza;</w:t>
            </w:r>
          </w:p>
          <w:p w14:paraId="3C76351D" w14:textId="77777777" w:rsidR="009B7728" w:rsidRPr="00816571" w:rsidRDefault="009B7728" w:rsidP="009B7728">
            <w:pPr>
              <w:pStyle w:val="Default"/>
              <w:numPr>
                <w:ilvl w:val="0"/>
                <w:numId w:val="16"/>
              </w:numPr>
              <w:rPr>
                <w:rFonts w:asciiTheme="minorHAnsi" w:hAnsiTheme="minorHAnsi" w:cstheme="minorHAnsi"/>
                <w:color w:val="auto"/>
                <w:sz w:val="22"/>
                <w:szCs w:val="22"/>
              </w:rPr>
            </w:pPr>
            <w:r w:rsidRPr="00816571">
              <w:rPr>
                <w:rFonts w:asciiTheme="minorHAnsi" w:hAnsiTheme="minorHAnsi" w:cstheme="minorHAnsi"/>
                <w:color w:val="auto"/>
                <w:sz w:val="22"/>
                <w:szCs w:val="22"/>
              </w:rPr>
              <w:t>komunikacja;</w:t>
            </w:r>
          </w:p>
          <w:p w14:paraId="1DE061FE" w14:textId="77777777" w:rsidR="009B7728" w:rsidRPr="00816571" w:rsidRDefault="009B7728" w:rsidP="009B7728">
            <w:pPr>
              <w:pStyle w:val="Default"/>
              <w:numPr>
                <w:ilvl w:val="0"/>
                <w:numId w:val="16"/>
              </w:numPr>
              <w:rPr>
                <w:rFonts w:asciiTheme="minorHAnsi" w:hAnsiTheme="minorHAnsi" w:cstheme="minorHAnsi"/>
                <w:color w:val="auto"/>
                <w:sz w:val="22"/>
                <w:szCs w:val="22"/>
              </w:rPr>
            </w:pPr>
            <w:r w:rsidRPr="00816571">
              <w:rPr>
                <w:rFonts w:asciiTheme="minorHAnsi" w:hAnsiTheme="minorHAnsi" w:cstheme="minorHAnsi"/>
                <w:color w:val="auto"/>
                <w:sz w:val="22"/>
                <w:szCs w:val="22"/>
              </w:rPr>
              <w:t>infrastruktura techniczna;</w:t>
            </w:r>
          </w:p>
          <w:p w14:paraId="441C198D" w14:textId="77777777" w:rsidR="009B7728" w:rsidRPr="00816571" w:rsidRDefault="009B7728" w:rsidP="009B7728">
            <w:pPr>
              <w:pStyle w:val="Default"/>
              <w:numPr>
                <w:ilvl w:val="0"/>
                <w:numId w:val="16"/>
              </w:numPr>
              <w:rPr>
                <w:rFonts w:asciiTheme="minorHAnsi" w:hAnsiTheme="minorHAnsi" w:cstheme="minorHAnsi"/>
                <w:color w:val="auto"/>
                <w:sz w:val="22"/>
                <w:szCs w:val="22"/>
              </w:rPr>
            </w:pPr>
            <w:r w:rsidRPr="00816571">
              <w:rPr>
                <w:rFonts w:asciiTheme="minorHAnsi" w:hAnsiTheme="minorHAnsi" w:cstheme="minorHAnsi"/>
                <w:color w:val="auto"/>
                <w:sz w:val="22"/>
                <w:szCs w:val="22"/>
              </w:rPr>
              <w:t>obronność i bezpieczeństwo państwa.</w:t>
            </w:r>
          </w:p>
          <w:p w14:paraId="050D0C9E" w14:textId="77777777" w:rsidR="009B7728" w:rsidRPr="00362D50" w:rsidRDefault="009B7728" w:rsidP="009B7728">
            <w:pPr>
              <w:pStyle w:val="Default"/>
              <w:rPr>
                <w:rFonts w:asciiTheme="minorHAnsi" w:hAnsiTheme="minorHAnsi" w:cstheme="minorHAnsi"/>
                <w:sz w:val="22"/>
                <w:szCs w:val="22"/>
              </w:rPr>
            </w:pPr>
            <w:r w:rsidRPr="00816571">
              <w:rPr>
                <w:rFonts w:asciiTheme="minorHAnsi" w:hAnsiTheme="minorHAnsi" w:cstheme="minorHAnsi"/>
                <w:color w:val="auto"/>
                <w:sz w:val="22"/>
                <w:szCs w:val="22"/>
              </w:rPr>
              <w:t>Kierunki zapisane w Plani</w:t>
            </w:r>
            <w:r>
              <w:rPr>
                <w:rFonts w:asciiTheme="minorHAnsi" w:hAnsiTheme="minorHAnsi" w:cstheme="minorHAnsi"/>
                <w:color w:val="auto"/>
                <w:sz w:val="22"/>
                <w:szCs w:val="22"/>
              </w:rPr>
              <w:t>e</w:t>
            </w:r>
            <w:r w:rsidRPr="0081657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mają na celu wsparcie dla </w:t>
            </w:r>
            <w:r w:rsidRPr="00816571">
              <w:rPr>
                <w:rFonts w:asciiTheme="minorHAnsi" w:hAnsiTheme="minorHAnsi" w:cstheme="minorHAnsi"/>
                <w:color w:val="auto"/>
                <w:sz w:val="22"/>
                <w:szCs w:val="22"/>
              </w:rPr>
              <w:t>rozprzestrzeniani</w:t>
            </w:r>
            <w:r>
              <w:rPr>
                <w:rFonts w:asciiTheme="minorHAnsi" w:hAnsiTheme="minorHAnsi" w:cstheme="minorHAnsi"/>
                <w:color w:val="auto"/>
                <w:sz w:val="22"/>
                <w:szCs w:val="22"/>
              </w:rPr>
              <w:t>a</w:t>
            </w:r>
            <w:r w:rsidRPr="00816571">
              <w:rPr>
                <w:rFonts w:asciiTheme="minorHAnsi" w:hAnsiTheme="minorHAnsi" w:cstheme="minorHAnsi"/>
                <w:color w:val="auto"/>
                <w:sz w:val="22"/>
                <w:szCs w:val="22"/>
              </w:rPr>
              <w:t xml:space="preserve"> procesów rozwojowych na obszary poza głównymi miastami oraz budowanie potencjału do specjalizacji terytorialnej. </w:t>
            </w:r>
            <w:r>
              <w:rPr>
                <w:rFonts w:asciiTheme="minorHAnsi" w:hAnsiTheme="minorHAnsi" w:cstheme="minorHAnsi"/>
                <w:color w:val="auto"/>
                <w:sz w:val="22"/>
                <w:szCs w:val="22"/>
              </w:rPr>
              <w:t xml:space="preserve">Podkreślają </w:t>
            </w:r>
            <w:r w:rsidRPr="00816571">
              <w:rPr>
                <w:rFonts w:asciiTheme="minorHAnsi" w:hAnsiTheme="minorHAnsi" w:cstheme="minorHAnsi"/>
                <w:color w:val="auto"/>
                <w:sz w:val="22"/>
                <w:szCs w:val="22"/>
              </w:rPr>
              <w:t>edukacyjne i turystyczne znaczenie sieci szlaków kulturowych w województwie podkarpackim</w:t>
            </w:r>
            <w:r>
              <w:rPr>
                <w:rFonts w:asciiTheme="minorHAnsi" w:hAnsiTheme="minorHAnsi" w:cstheme="minorHAnsi"/>
                <w:color w:val="auto"/>
                <w:sz w:val="22"/>
                <w:szCs w:val="22"/>
              </w:rPr>
              <w:t xml:space="preserve">. Plan wskazuje kierunki </w:t>
            </w:r>
            <w:r w:rsidRPr="00816571">
              <w:rPr>
                <w:rFonts w:asciiTheme="minorHAnsi" w:hAnsiTheme="minorHAnsi" w:cstheme="minorHAnsi"/>
                <w:color w:val="auto"/>
                <w:sz w:val="22"/>
                <w:szCs w:val="22"/>
              </w:rPr>
              <w:t>rozw</w:t>
            </w:r>
            <w:r>
              <w:rPr>
                <w:rFonts w:asciiTheme="minorHAnsi" w:hAnsiTheme="minorHAnsi" w:cstheme="minorHAnsi"/>
                <w:color w:val="auto"/>
                <w:sz w:val="22"/>
                <w:szCs w:val="22"/>
              </w:rPr>
              <w:t>oju</w:t>
            </w:r>
            <w:r w:rsidRPr="0081657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turystyki i rekreacji </w:t>
            </w:r>
            <w:r w:rsidRPr="00816571">
              <w:rPr>
                <w:rFonts w:asciiTheme="minorHAnsi" w:hAnsiTheme="minorHAnsi" w:cstheme="minorHAnsi"/>
                <w:color w:val="auto"/>
                <w:sz w:val="22"/>
                <w:szCs w:val="22"/>
              </w:rPr>
              <w:t>poprzez tworzenie nowych szlaków kulturowych rowerowych, pieszych, samochodowych i wodnych z uwzględnieniem elementów przyrodnicz</w:t>
            </w:r>
            <w:r>
              <w:rPr>
                <w:rFonts w:asciiTheme="minorHAnsi" w:hAnsiTheme="minorHAnsi" w:cstheme="minorHAnsi"/>
                <w:color w:val="auto"/>
                <w:sz w:val="22"/>
                <w:szCs w:val="22"/>
              </w:rPr>
              <w:t>ych</w:t>
            </w:r>
            <w:r w:rsidRPr="00816571">
              <w:rPr>
                <w:rFonts w:asciiTheme="minorHAnsi" w:hAnsiTheme="minorHAnsi" w:cstheme="minorHAnsi"/>
                <w:color w:val="auto"/>
                <w:sz w:val="22"/>
                <w:szCs w:val="22"/>
              </w:rPr>
              <w:t xml:space="preserve"> czy krajobrazow</w:t>
            </w:r>
            <w:r>
              <w:rPr>
                <w:rFonts w:asciiTheme="minorHAnsi" w:hAnsiTheme="minorHAnsi" w:cstheme="minorHAnsi"/>
                <w:color w:val="auto"/>
                <w:sz w:val="22"/>
                <w:szCs w:val="22"/>
              </w:rPr>
              <w:t xml:space="preserve">ych. W planie zapisano wsparcie dla </w:t>
            </w:r>
            <w:r w:rsidRPr="00816571">
              <w:rPr>
                <w:rFonts w:asciiTheme="minorHAnsi" w:hAnsiTheme="minorHAnsi" w:cstheme="minorHAnsi"/>
                <w:sz w:val="22"/>
                <w:szCs w:val="22"/>
              </w:rPr>
              <w:t>budow</w:t>
            </w:r>
            <w:r>
              <w:rPr>
                <w:rFonts w:asciiTheme="minorHAnsi" w:hAnsiTheme="minorHAnsi" w:cstheme="minorHAnsi"/>
                <w:sz w:val="22"/>
                <w:szCs w:val="22"/>
              </w:rPr>
              <w:t>y</w:t>
            </w:r>
            <w:r w:rsidRPr="00816571">
              <w:rPr>
                <w:rFonts w:asciiTheme="minorHAnsi" w:hAnsiTheme="minorHAnsi" w:cstheme="minorHAnsi"/>
                <w:sz w:val="22"/>
                <w:szCs w:val="22"/>
              </w:rPr>
              <w:t xml:space="preserve"> i modernizację obiektów i urządzeń sportowych oraz </w:t>
            </w:r>
            <w:r w:rsidRPr="00816571">
              <w:rPr>
                <w:rFonts w:asciiTheme="minorHAnsi" w:hAnsiTheme="minorHAnsi" w:cstheme="minorHAnsi"/>
                <w:sz w:val="22"/>
                <w:szCs w:val="22"/>
              </w:rPr>
              <w:lastRenderedPageBreak/>
              <w:t>infrastruktury przeznaczonej do rekreacji, w tym pieszej, rowerowej, wodnej i narciarskiej, zwłaszcza w miejscowościach uzdrowiskowych i na terenach atrakcyjnych turystycznie.</w:t>
            </w:r>
          </w:p>
        </w:tc>
        <w:tc>
          <w:tcPr>
            <w:tcW w:w="4501" w:type="dxa"/>
          </w:tcPr>
          <w:p w14:paraId="60A9CD6F" w14:textId="77777777" w:rsidR="009B7728" w:rsidRDefault="009B7728" w:rsidP="009B7728">
            <w:pPr>
              <w:rPr>
                <w:rFonts w:cstheme="minorHAnsi"/>
              </w:rPr>
            </w:pPr>
            <w:r w:rsidRPr="00362D50">
              <w:rPr>
                <w:rFonts w:cstheme="minorHAnsi"/>
              </w:rPr>
              <w:lastRenderedPageBreak/>
              <w:t xml:space="preserve">Projekt </w:t>
            </w:r>
            <w:r>
              <w:rPr>
                <w:rFonts w:cstheme="minorHAnsi"/>
              </w:rPr>
              <w:t>Koncepcji</w:t>
            </w:r>
            <w:r w:rsidRPr="00362D50">
              <w:rPr>
                <w:rFonts w:cstheme="minorHAnsi"/>
              </w:rPr>
              <w:t xml:space="preserve"> wpisuje się w realizację polityki przestrzennej województwa. W ramach </w:t>
            </w:r>
            <w:r>
              <w:rPr>
                <w:rFonts w:cstheme="minorHAnsi"/>
              </w:rPr>
              <w:t>Koncepcji</w:t>
            </w:r>
            <w:r w:rsidRPr="00362D50">
              <w:rPr>
                <w:rFonts w:cstheme="minorHAnsi"/>
              </w:rPr>
              <w:t xml:space="preserve"> wskazane do realizacji obszary działań są zgodne z kierunkami zagospodarowania przestrzennego. </w:t>
            </w:r>
            <w:r>
              <w:rPr>
                <w:rFonts w:eastAsia="Times New Roman" w:cstheme="minorHAnsi"/>
              </w:rPr>
              <w:t xml:space="preserve">Zaplanowana w Projekcie Koncepcji </w:t>
            </w:r>
            <w:r w:rsidRPr="00362D50">
              <w:rPr>
                <w:rFonts w:cstheme="minorHAnsi"/>
              </w:rPr>
              <w:t>budow</w:t>
            </w:r>
            <w:r>
              <w:rPr>
                <w:rFonts w:cstheme="minorHAnsi"/>
              </w:rPr>
              <w:t>a</w:t>
            </w:r>
            <w:r w:rsidRPr="00362D50">
              <w:rPr>
                <w:rFonts w:cstheme="minorHAnsi"/>
              </w:rPr>
              <w:t xml:space="preserve"> i rozbudow</w:t>
            </w:r>
            <w:r>
              <w:rPr>
                <w:rFonts w:cstheme="minorHAnsi"/>
              </w:rPr>
              <w:t>a</w:t>
            </w:r>
            <w:r w:rsidRPr="00362D50">
              <w:rPr>
                <w:rFonts w:cstheme="minorHAnsi"/>
              </w:rPr>
              <w:t xml:space="preserve"> tras rowerowych oraz tras rowerowych połączonych z infrastrukturą do uprawiania turystyki wodnej</w:t>
            </w:r>
          </w:p>
          <w:p w14:paraId="6D3AF277" w14:textId="77777777" w:rsidR="009B7728" w:rsidRDefault="009B7728" w:rsidP="009B7728">
            <w:pPr>
              <w:rPr>
                <w:rFonts w:cstheme="minorHAnsi"/>
              </w:rPr>
            </w:pPr>
            <w:r>
              <w:rPr>
                <w:rFonts w:cstheme="minorHAnsi"/>
              </w:rPr>
              <w:t>bezpośrednio wpisuje się w wizję zagospodarowania przestrzennego woj. podkarpackiego.</w:t>
            </w:r>
          </w:p>
          <w:p w14:paraId="0974A297" w14:textId="77777777" w:rsidR="009B7728" w:rsidRPr="00362D50" w:rsidRDefault="009B7728" w:rsidP="009B7728">
            <w:pPr>
              <w:rPr>
                <w:rFonts w:cstheme="minorHAnsi"/>
              </w:rPr>
            </w:pPr>
            <w:r w:rsidRPr="00362D50">
              <w:rPr>
                <w:rFonts w:cstheme="minorHAnsi"/>
              </w:rPr>
              <w:t xml:space="preserve">Przyjęty kierunek interwencji projektu </w:t>
            </w:r>
            <w:r>
              <w:rPr>
                <w:rFonts w:cstheme="minorHAnsi"/>
              </w:rPr>
              <w:t xml:space="preserve">Koncepcji </w:t>
            </w:r>
            <w:r w:rsidRPr="00362D50">
              <w:rPr>
                <w:rFonts w:cstheme="minorHAnsi"/>
              </w:rPr>
              <w:t>jest spójny z polityką zagospodarowania przestrzennego samorządu województwa.</w:t>
            </w:r>
          </w:p>
        </w:tc>
      </w:tr>
      <w:tr w:rsidR="009B7728" w:rsidRPr="00362D50" w14:paraId="63042BFA" w14:textId="77777777" w:rsidTr="00145C6D">
        <w:tc>
          <w:tcPr>
            <w:tcW w:w="3211" w:type="dxa"/>
          </w:tcPr>
          <w:p w14:paraId="1AC54DDD" w14:textId="77777777" w:rsidR="009B7728" w:rsidRPr="00362D50" w:rsidRDefault="009B7728" w:rsidP="009B7728">
            <w:pPr>
              <w:rPr>
                <w:rFonts w:cstheme="minorHAnsi"/>
              </w:rPr>
            </w:pPr>
            <w:r w:rsidRPr="00362D50">
              <w:rPr>
                <w:rFonts w:cstheme="minorHAnsi"/>
              </w:rPr>
              <w:t>Strategia rozwoju i komunikacji marketingowej turystyki województwa podkarpackiego na lata 2020–2025 przyjęta Uchwałą Nr 167/3530/20 Zarządu Województwa Podkarpackiego z dnia 16 czerwca 2020 r.</w:t>
            </w:r>
          </w:p>
        </w:tc>
        <w:tc>
          <w:tcPr>
            <w:tcW w:w="6282" w:type="dxa"/>
          </w:tcPr>
          <w:p w14:paraId="1E48E67D" w14:textId="77777777" w:rsidR="009B7728" w:rsidRDefault="009B7728" w:rsidP="009B7728">
            <w:r>
              <w:t xml:space="preserve">Zdefiniowany w Strategii cel nadrzędny i jednocześnie motto Strategii brzmi „Turystyka wzmacnia i chroni unikatowe zasoby Podkarpacia: wysokiej jakości krajobrazy, położenie, historię, kulturę. Pozwala mieszkańcom dzielić się nimi z turystami, stwarzając stabilne podstawy do rozwoju gospodarczego”. </w:t>
            </w:r>
          </w:p>
          <w:p w14:paraId="6DBEFCA9" w14:textId="77777777" w:rsidR="009B7728" w:rsidRDefault="009B7728" w:rsidP="009B7728">
            <w:r>
              <w:t xml:space="preserve">Cele strategiczne zapisane w dokumencie dotyczą: </w:t>
            </w:r>
          </w:p>
          <w:p w14:paraId="52EFC286" w14:textId="77777777" w:rsidR="009B7728" w:rsidRDefault="009B7728" w:rsidP="009B7728">
            <w:pPr>
              <w:pStyle w:val="Akapitzlist"/>
              <w:numPr>
                <w:ilvl w:val="0"/>
                <w:numId w:val="17"/>
              </w:numPr>
            </w:pPr>
            <w:r>
              <w:t>zbudowania klucza doświadczeń turystycznych regionu opartego na ofercie krain turystycznych i produktów flagowych;</w:t>
            </w:r>
          </w:p>
          <w:p w14:paraId="53067482" w14:textId="77777777" w:rsidR="009B7728" w:rsidRDefault="009B7728" w:rsidP="009B7728">
            <w:pPr>
              <w:pStyle w:val="Akapitzlist"/>
              <w:numPr>
                <w:ilvl w:val="0"/>
                <w:numId w:val="17"/>
              </w:numPr>
            </w:pPr>
            <w:r>
              <w:t>zbudowania całorocznej oferty turystycznej i wydłużenie pobytów turystów;</w:t>
            </w:r>
          </w:p>
          <w:p w14:paraId="39B0734C" w14:textId="77777777" w:rsidR="009B7728" w:rsidRPr="00BD2897" w:rsidRDefault="009B7728" w:rsidP="009B7728">
            <w:pPr>
              <w:pStyle w:val="Akapitzlist"/>
              <w:numPr>
                <w:ilvl w:val="0"/>
                <w:numId w:val="17"/>
              </w:numPr>
              <w:rPr>
                <w:rFonts w:cstheme="minorHAnsi"/>
              </w:rPr>
            </w:pPr>
            <w:r>
              <w:t xml:space="preserve">współpracy z </w:t>
            </w:r>
            <w:proofErr w:type="spellStart"/>
            <w:r>
              <w:t>subregionalnymi</w:t>
            </w:r>
            <w:proofErr w:type="spellEnd"/>
            <w:r>
              <w:t xml:space="preserve"> motorami rozwoju turystyki i integracja branży turystycznej w ramach wspólnych działań promocyjnych.</w:t>
            </w:r>
          </w:p>
          <w:p w14:paraId="4143FCCE" w14:textId="77777777" w:rsidR="009B7728" w:rsidRDefault="009B7728" w:rsidP="009B7728">
            <w:pPr>
              <w:rPr>
                <w:rFonts w:cstheme="minorHAnsi"/>
              </w:rPr>
            </w:pPr>
            <w:r>
              <w:rPr>
                <w:rFonts w:cstheme="minorHAnsi"/>
              </w:rPr>
              <w:t>Strategia zdefiniowała potrzeby i cele turystyczne regionu wskazując m.in. na istotne cechy i uwarunkowania takie jak:</w:t>
            </w:r>
          </w:p>
          <w:p w14:paraId="68464EA3" w14:textId="77777777" w:rsidR="009B7728" w:rsidRDefault="009B7728" w:rsidP="009B7728">
            <w:pPr>
              <w:pStyle w:val="Akapitzlist"/>
              <w:numPr>
                <w:ilvl w:val="0"/>
                <w:numId w:val="18"/>
              </w:numPr>
            </w:pPr>
            <w:r>
              <w:t>oznakowanie oraz dostępność obiektów wchodzących w skład szlaku, a także poczucie bezpieczeństwa wynikające z odpowiednio zorganizowanej infrastruktury. Są to  najistotniejsze kwestie dla turysty podążającego szlakiem tematycznym;</w:t>
            </w:r>
          </w:p>
          <w:p w14:paraId="6C43C151" w14:textId="77777777" w:rsidR="009B7728" w:rsidRPr="0090178B" w:rsidRDefault="009B7728" w:rsidP="009B7728">
            <w:pPr>
              <w:pStyle w:val="Akapitzlist"/>
              <w:numPr>
                <w:ilvl w:val="0"/>
                <w:numId w:val="18"/>
              </w:numPr>
              <w:rPr>
                <w:rFonts w:cstheme="minorHAnsi"/>
              </w:rPr>
            </w:pPr>
            <w:r>
              <w:t>oczekiwanie pełnej dostępności do informacji turystycznej, która ułatwi turyście rowerowemu samodzielne zorganizowanie wyprawy.</w:t>
            </w:r>
          </w:p>
          <w:p w14:paraId="7E5C3529" w14:textId="77777777" w:rsidR="009B7728" w:rsidRPr="0090178B" w:rsidRDefault="009B7728" w:rsidP="009B7728">
            <w:pPr>
              <w:rPr>
                <w:rFonts w:cstheme="minorHAnsi"/>
              </w:rPr>
            </w:pPr>
            <w:r>
              <w:t xml:space="preserve">Strategia wskazuje na potrzebę tworzenia kompleksowych produktów turystycznych w różnych segmentach rynku turystycznego, uwzględniających konieczność konkurowania w tym </w:t>
            </w:r>
            <w:r>
              <w:lastRenderedPageBreak/>
              <w:t>względzie z innymi regionami oraz rozwój oferty usług „czasu wolnego”.</w:t>
            </w:r>
          </w:p>
        </w:tc>
        <w:tc>
          <w:tcPr>
            <w:tcW w:w="4501" w:type="dxa"/>
          </w:tcPr>
          <w:p w14:paraId="32706619" w14:textId="77777777" w:rsidR="009B7728" w:rsidRPr="00362D50" w:rsidRDefault="009B7728" w:rsidP="009B7728">
            <w:pPr>
              <w:rPr>
                <w:rFonts w:cstheme="minorHAnsi"/>
              </w:rPr>
            </w:pPr>
            <w:r w:rsidRPr="00362D50">
              <w:rPr>
                <w:rFonts w:cstheme="minorHAnsi"/>
              </w:rPr>
              <w:lastRenderedPageBreak/>
              <w:t xml:space="preserve">Projekt </w:t>
            </w:r>
            <w:r>
              <w:rPr>
                <w:rFonts w:cstheme="minorHAnsi"/>
              </w:rPr>
              <w:t>Koncepcji</w:t>
            </w:r>
            <w:r w:rsidRPr="00362D50">
              <w:rPr>
                <w:rFonts w:cstheme="minorHAnsi"/>
              </w:rPr>
              <w:t xml:space="preserve"> zakłada interwencję w ramach celów związanych z wzmacnianiem roli kultury i zrównoważonej turystyki. W ramach działań Koncepcji planuje się działania z zakresu </w:t>
            </w:r>
            <w:r w:rsidRPr="00362D50">
              <w:rPr>
                <w:rFonts w:cstheme="minorHAnsi"/>
                <w:kern w:val="2"/>
              </w:rPr>
              <w:t>turystyki ekologicznej i edukacyjnej, pozwalając odwiedzającym na odkrywanie unikalnych wartości przyrodniczych województwa podkarpackiego.</w:t>
            </w:r>
          </w:p>
          <w:p w14:paraId="1D099ED5" w14:textId="77777777" w:rsidR="009B7728" w:rsidRDefault="009B7728" w:rsidP="009B7728">
            <w:r w:rsidRPr="00362D50">
              <w:rPr>
                <w:rFonts w:cstheme="minorHAnsi"/>
              </w:rPr>
              <w:t xml:space="preserve">W ramach Koncepcji planuje się </w:t>
            </w:r>
            <w:r>
              <w:rPr>
                <w:rFonts w:cstheme="minorHAnsi"/>
              </w:rPr>
              <w:t xml:space="preserve">stworzenie produktu </w:t>
            </w:r>
            <w:r w:rsidRPr="00362D50">
              <w:rPr>
                <w:rFonts w:cstheme="minorHAnsi"/>
              </w:rPr>
              <w:t>"B</w:t>
            </w:r>
            <w:r>
              <w:rPr>
                <w:rFonts w:cstheme="minorHAnsi"/>
              </w:rPr>
              <w:t xml:space="preserve">lue Valley – Wiślanym Szlakiem" który bezpośrednio wpisuje się w cele Strategii zdefiniowane jako : </w:t>
            </w:r>
            <w:r>
              <w:t>zbudowanie klucza doświadczeń turystycznych regionu opartego na ofercie krain turystycznych i produktów flagowych. Odpowiednio zrealizowany Projekt „</w:t>
            </w:r>
            <w:r w:rsidRPr="00362D50">
              <w:rPr>
                <w:rFonts w:cstheme="minorHAnsi"/>
              </w:rPr>
              <w:t>B</w:t>
            </w:r>
            <w:r>
              <w:rPr>
                <w:rFonts w:cstheme="minorHAnsi"/>
              </w:rPr>
              <w:t xml:space="preserve">lue Valley – Wiślanym Szlakiem” może stać się produktem flagowym województwa i może konkurować z produktami innych regionów.  </w:t>
            </w:r>
          </w:p>
          <w:p w14:paraId="151F0B60" w14:textId="77777777" w:rsidR="009B7728" w:rsidRPr="00362D50" w:rsidRDefault="009B7728" w:rsidP="009B7728">
            <w:pPr>
              <w:rPr>
                <w:rFonts w:cstheme="minorHAnsi"/>
              </w:rPr>
            </w:pPr>
            <w:r w:rsidRPr="00362D50">
              <w:rPr>
                <w:rFonts w:cstheme="minorHAnsi"/>
              </w:rPr>
              <w:t xml:space="preserve">Przyjęty kierunek interwencji projektu Koncepcji </w:t>
            </w:r>
            <w:r>
              <w:rPr>
                <w:rFonts w:cstheme="minorHAnsi"/>
              </w:rPr>
              <w:t xml:space="preserve">realizuje </w:t>
            </w:r>
            <w:r w:rsidRPr="00362D50">
              <w:rPr>
                <w:rFonts w:cstheme="minorHAnsi"/>
              </w:rPr>
              <w:t>założenia zawart</w:t>
            </w:r>
            <w:r>
              <w:rPr>
                <w:rFonts w:cstheme="minorHAnsi"/>
              </w:rPr>
              <w:t xml:space="preserve">e w Strategii. </w:t>
            </w:r>
          </w:p>
        </w:tc>
      </w:tr>
      <w:tr w:rsidR="009B7728" w:rsidRPr="00362D50" w14:paraId="57013328" w14:textId="77777777" w:rsidTr="00145C6D">
        <w:tc>
          <w:tcPr>
            <w:tcW w:w="3211" w:type="dxa"/>
          </w:tcPr>
          <w:p w14:paraId="32180850" w14:textId="77777777" w:rsidR="009B7728" w:rsidRPr="00362D50" w:rsidRDefault="009B7728" w:rsidP="009B7728">
            <w:pPr>
              <w:rPr>
                <w:rFonts w:cstheme="minorHAnsi"/>
              </w:rPr>
            </w:pPr>
            <w:r w:rsidRPr="00362D50">
              <w:rPr>
                <w:rFonts w:cstheme="minorHAnsi"/>
              </w:rPr>
              <w:t>Polityka Rowerowa Województwa Podkarpackiego przyjęta przez Zarząd Województwa Podkarpackiego Uchwałą nr 487/10171/23 z dnia 16 maja 2023 r.</w:t>
            </w:r>
          </w:p>
        </w:tc>
        <w:tc>
          <w:tcPr>
            <w:tcW w:w="6282" w:type="dxa"/>
          </w:tcPr>
          <w:p w14:paraId="5F03AD84" w14:textId="77777777" w:rsidR="009B7728" w:rsidRDefault="009B7728" w:rsidP="009B7728">
            <w:r w:rsidRPr="005515DC">
              <w:t>Głównym celem</w:t>
            </w:r>
            <w:r w:rsidRPr="00B55273">
              <w:t xml:space="preserve"> dokumentu </w:t>
            </w:r>
            <w:r>
              <w:t>j</w:t>
            </w:r>
            <w:r w:rsidRPr="005515DC">
              <w:t xml:space="preserve">est </w:t>
            </w:r>
            <w:r w:rsidRPr="009E70DA">
              <w:t>opracowanie systemowego podejścia wspomagania ruchu rowerowego, z koordynacyjną funkcją regionu</w:t>
            </w:r>
            <w:r w:rsidRPr="005515DC">
              <w:t>. Polityka stanowi</w:t>
            </w:r>
            <w:r>
              <w:t xml:space="preserve"> </w:t>
            </w:r>
            <w:r w:rsidRPr="005515DC">
              <w:t xml:space="preserve">narzędzie, które wspiera </w:t>
            </w:r>
            <w:r w:rsidRPr="009E70DA">
              <w:t>wdrażanie działań związanych z budową infrastruktury rowerowej</w:t>
            </w:r>
            <w:r w:rsidRPr="005515DC">
              <w:t xml:space="preserve"> oraz umożliwi </w:t>
            </w:r>
            <w:r w:rsidRPr="009E70DA">
              <w:t>ich prowadzenie w sposób skoordynowany i ciągły</w:t>
            </w:r>
            <w:r w:rsidRPr="005515DC">
              <w:t>.</w:t>
            </w:r>
          </w:p>
          <w:p w14:paraId="2B249398" w14:textId="77777777" w:rsidR="009B7728" w:rsidRDefault="009B7728" w:rsidP="009B7728">
            <w:r>
              <w:t xml:space="preserve">Polityka stanowi dokument Samorządu Województwa Podkarpackiego oraz innych Jednostek Samorządu Terytorialnego zlokalizowanych na terenie województwa, który określa kwestie związane z kształtowaniem się infrastruktury rowerowej pod względem przestrzennym, planistycznym, technicznym oraz organizacyjnym. </w:t>
            </w:r>
            <w:r w:rsidRPr="0050542F">
              <w:t>Celem głównym</w:t>
            </w:r>
            <w:r>
              <w:t xml:space="preserve"> Polityki jest w</w:t>
            </w:r>
            <w:r w:rsidRPr="00DB46C0">
              <w:t>zrost satysfakcji z jakości infrastruktury rowerowej oraz wzrost udziału ruchu rowerowego w transporcie na terenie województwa, zarówno uwzględniając założenia komunikacyjnego podsystemu transportowego, jak również rowerowego transportu turystycznego</w:t>
            </w:r>
            <w:r>
              <w:t>.</w:t>
            </w:r>
          </w:p>
          <w:p w14:paraId="353F049D" w14:textId="77777777" w:rsidR="009B7728" w:rsidRDefault="009B7728" w:rsidP="009B7728">
            <w:r>
              <w:t>Jednym z celów strategicznych jest w</w:t>
            </w:r>
            <w:r w:rsidRPr="0003662D">
              <w:t>zrost ruchu rowerowego regionalnego - zwiększanie potencjału turystycznego regionu za pośrednictwem rozwoju turystyki rowerowej</w:t>
            </w:r>
            <w:r>
              <w:t>. Cel ten realizowany jest poprzez:</w:t>
            </w:r>
          </w:p>
          <w:p w14:paraId="4DA0BF12" w14:textId="77777777" w:rsidR="009B7728" w:rsidRPr="004D4285" w:rsidRDefault="009B7728" w:rsidP="009B7728">
            <w:pPr>
              <w:pStyle w:val="Akapitzlist"/>
              <w:numPr>
                <w:ilvl w:val="0"/>
                <w:numId w:val="19"/>
              </w:numPr>
            </w:pPr>
            <w:r>
              <w:t>r</w:t>
            </w:r>
            <w:r w:rsidRPr="004D4285">
              <w:t>ozwój tras rowerowych o charakter</w:t>
            </w:r>
            <w:r>
              <w:t>ze turystycznym, rekreacyjnym i </w:t>
            </w:r>
            <w:r w:rsidRPr="004D4285">
              <w:t>sport</w:t>
            </w:r>
            <w:r>
              <w:t>owym;</w:t>
            </w:r>
          </w:p>
          <w:p w14:paraId="2ACEECAF" w14:textId="77777777" w:rsidR="009B7728" w:rsidRPr="00FB788E" w:rsidRDefault="009B7728" w:rsidP="009B7728">
            <w:pPr>
              <w:pStyle w:val="Akapitzlist"/>
              <w:numPr>
                <w:ilvl w:val="0"/>
                <w:numId w:val="19"/>
              </w:numPr>
            </w:pPr>
            <w:r>
              <w:t>z</w:t>
            </w:r>
            <w:r w:rsidRPr="004D4285">
              <w:t>większanie popularności rowerowych szlaków turystycz</w:t>
            </w:r>
            <w:r>
              <w:t>nych województwa podkarpackiego;</w:t>
            </w:r>
          </w:p>
          <w:p w14:paraId="5F5AB290" w14:textId="77777777" w:rsidR="009B7728" w:rsidRPr="00261C2A" w:rsidRDefault="009B7728" w:rsidP="009B7728">
            <w:pPr>
              <w:pStyle w:val="Akapitzlist"/>
              <w:numPr>
                <w:ilvl w:val="0"/>
                <w:numId w:val="19"/>
              </w:numPr>
            </w:pPr>
            <w:r>
              <w:t>z</w:t>
            </w:r>
            <w:r w:rsidRPr="00261C2A">
              <w:t>większenie spójnośc</w:t>
            </w:r>
            <w:r>
              <w:t>i rowerowych tras turystycznych;</w:t>
            </w:r>
          </w:p>
          <w:p w14:paraId="358138F9" w14:textId="77777777" w:rsidR="009B7728" w:rsidRPr="00DB46C0" w:rsidRDefault="009B7728" w:rsidP="009B7728">
            <w:pPr>
              <w:pStyle w:val="Akapitzlist"/>
              <w:numPr>
                <w:ilvl w:val="0"/>
                <w:numId w:val="19"/>
              </w:numPr>
              <w:rPr>
                <w:rFonts w:cstheme="minorHAnsi"/>
              </w:rPr>
            </w:pPr>
            <w:r>
              <w:t>w</w:t>
            </w:r>
            <w:r w:rsidRPr="00781858">
              <w:t>sparcie inicjatyw regionalnych i l</w:t>
            </w:r>
            <w:r>
              <w:t>okalnych w zakresie tworzenia i </w:t>
            </w:r>
            <w:r w:rsidRPr="00781858">
              <w:t>zarządzania produktami turystyki rowerowej</w:t>
            </w:r>
            <w:r>
              <w:t>.</w:t>
            </w:r>
          </w:p>
          <w:p w14:paraId="39736932" w14:textId="77777777" w:rsidR="009B7728" w:rsidRPr="00362D50" w:rsidRDefault="009B7728" w:rsidP="009B7728">
            <w:pPr>
              <w:rPr>
                <w:rFonts w:cstheme="minorHAnsi"/>
              </w:rPr>
            </w:pPr>
            <w:r>
              <w:t xml:space="preserve">W Polityce wskazano jako niezbędne opracowanie koncepcji głównych tras rowerowych, która stanowić będzie dokument </w:t>
            </w:r>
            <w:r>
              <w:lastRenderedPageBreak/>
              <w:t xml:space="preserve">planistyczny wskazujący główne kierunki tworzenia głównych i regionalnych tras rowerowych na terenie województwa podkarpackiego, wraz z ich uwarunkowaniem </w:t>
            </w:r>
            <w:proofErr w:type="spellStart"/>
            <w:r>
              <w:t>techniczno</w:t>
            </w:r>
            <w:proofErr w:type="spellEnd"/>
            <w:r>
              <w:t xml:space="preserve"> – finansowym. Polityka wskazuje również konieczność stosowania Wytycznych projektowania i wykonania infrastruktury rowerowej województwa podkarpackiego, które uwzględniają mi.in. budowę miejsc służących do odpoczynku podczas wypraw rowerowych (Miejsca Obsługi Rowerzystów).</w:t>
            </w:r>
          </w:p>
        </w:tc>
        <w:tc>
          <w:tcPr>
            <w:tcW w:w="4501" w:type="dxa"/>
          </w:tcPr>
          <w:p w14:paraId="1B977A9C" w14:textId="77777777" w:rsidR="009B7728" w:rsidRDefault="009B7728" w:rsidP="009B7728">
            <w:r w:rsidRPr="00362D50">
              <w:rPr>
                <w:rFonts w:cstheme="minorHAnsi"/>
              </w:rPr>
              <w:lastRenderedPageBreak/>
              <w:t xml:space="preserve">Projekt </w:t>
            </w:r>
            <w:r>
              <w:rPr>
                <w:rFonts w:cstheme="minorHAnsi"/>
              </w:rPr>
              <w:t>Koncepcji</w:t>
            </w:r>
            <w:r w:rsidRPr="00362D50">
              <w:rPr>
                <w:rFonts w:cstheme="minorHAnsi"/>
              </w:rPr>
              <w:t xml:space="preserve"> wpisuje się w realizację </w:t>
            </w:r>
            <w:r>
              <w:rPr>
                <w:rFonts w:cstheme="minorHAnsi"/>
              </w:rPr>
              <w:t>P</w:t>
            </w:r>
            <w:r w:rsidRPr="00362D50">
              <w:rPr>
                <w:rFonts w:cstheme="minorHAnsi"/>
              </w:rPr>
              <w:t xml:space="preserve">olityki </w:t>
            </w:r>
            <w:r>
              <w:rPr>
                <w:rFonts w:cstheme="minorHAnsi"/>
              </w:rPr>
              <w:t xml:space="preserve">Rowerowej </w:t>
            </w:r>
            <w:r w:rsidRPr="00362D50">
              <w:rPr>
                <w:rFonts w:cstheme="minorHAnsi"/>
              </w:rPr>
              <w:t xml:space="preserve">Województwa Podkarpackiego. W ramach </w:t>
            </w:r>
            <w:r>
              <w:rPr>
                <w:rFonts w:cstheme="minorHAnsi"/>
              </w:rPr>
              <w:t>Koncepcji</w:t>
            </w:r>
            <w:r w:rsidRPr="00362D50">
              <w:rPr>
                <w:rFonts w:cstheme="minorHAnsi"/>
              </w:rPr>
              <w:t xml:space="preserve"> wskazane do realizacji obszary działań są zgodne</w:t>
            </w:r>
            <w:r>
              <w:rPr>
                <w:rFonts w:cstheme="minorHAnsi"/>
              </w:rPr>
              <w:t xml:space="preserve"> z Polityką a sam dokument Koncepcji realizuje bezpośrednio cel strategiczny, jakim jest </w:t>
            </w:r>
            <w:r>
              <w:t xml:space="preserve">opracowanie koncepcji głównych tras rowerowych, która stanowić będzie dokument planistyczny wskazujący główne kierunki tworzenia głównych i regionalnych tras rowerowych na terenie województwa podkarpackiego. </w:t>
            </w:r>
            <w:r w:rsidRPr="00362D50">
              <w:rPr>
                <w:rFonts w:cstheme="minorHAnsi"/>
              </w:rPr>
              <w:t xml:space="preserve">W ramach celów Koncepcji planuje się wsparcie dla </w:t>
            </w:r>
            <w:r>
              <w:rPr>
                <w:rFonts w:cstheme="minorHAnsi"/>
              </w:rPr>
              <w:t xml:space="preserve">stworzenia </w:t>
            </w:r>
            <w:r w:rsidRPr="00362D50">
              <w:rPr>
                <w:rFonts w:cstheme="minorHAnsi"/>
                <w:kern w:val="2"/>
              </w:rPr>
              <w:t>przestrzeni mających na celu zapewnienie wysokiej jakości usług dla turystów.  Przy projektowaniu miejsc obsługi turystów (MOR,MPK, MOK) kluczowe będzie uwzględnienie łatwej dostępności, funkcjonalności oraz integracji z otoczeniem</w:t>
            </w:r>
            <w:r>
              <w:rPr>
                <w:rFonts w:cstheme="minorHAnsi"/>
                <w:kern w:val="2"/>
              </w:rPr>
              <w:t xml:space="preserve"> co jest zgodne z </w:t>
            </w:r>
            <w:r>
              <w:t>Wytycznymi projektowania i wykonania infrastruktury rowerowej województwa podkarpackiego</w:t>
            </w:r>
            <w:r w:rsidRPr="00362D50">
              <w:rPr>
                <w:rFonts w:cstheme="minorHAnsi"/>
                <w:kern w:val="2"/>
              </w:rPr>
              <w:t xml:space="preserve">. Lokalizacje wybierane są strategicznie, aby zapewnić dostępność kluczowych usług </w:t>
            </w:r>
            <w:r>
              <w:rPr>
                <w:rFonts w:cstheme="minorHAnsi"/>
                <w:kern w:val="2"/>
              </w:rPr>
              <w:t xml:space="preserve">oraz aktywizować lokalne samorządy dając </w:t>
            </w:r>
            <w:r>
              <w:t>w</w:t>
            </w:r>
            <w:r w:rsidRPr="00781858">
              <w:t xml:space="preserve">sparcie </w:t>
            </w:r>
            <w:r>
              <w:t xml:space="preserve">dla </w:t>
            </w:r>
            <w:r w:rsidRPr="00781858">
              <w:t>inicjatyw l</w:t>
            </w:r>
            <w:r>
              <w:t>okalnych w zakresie tworzenia i </w:t>
            </w:r>
            <w:r w:rsidRPr="00781858">
              <w:t>zarządzania produktami turystyki rowerowej</w:t>
            </w:r>
            <w:r>
              <w:t>.</w:t>
            </w:r>
          </w:p>
          <w:p w14:paraId="1D47652D" w14:textId="77777777" w:rsidR="009B7728" w:rsidRPr="00362D50" w:rsidRDefault="009B7728" w:rsidP="009B7728">
            <w:pPr>
              <w:rPr>
                <w:rFonts w:cstheme="minorHAnsi"/>
              </w:rPr>
            </w:pPr>
            <w:r w:rsidRPr="00362D50">
              <w:rPr>
                <w:rFonts w:cstheme="minorHAnsi"/>
              </w:rPr>
              <w:t xml:space="preserve">Przyjęty kierunek interwencji projektu Koncepcji </w:t>
            </w:r>
            <w:r>
              <w:rPr>
                <w:rFonts w:cstheme="minorHAnsi"/>
              </w:rPr>
              <w:t xml:space="preserve">realizuje </w:t>
            </w:r>
            <w:r w:rsidRPr="00362D50">
              <w:rPr>
                <w:rFonts w:cstheme="minorHAnsi"/>
              </w:rPr>
              <w:t>założenia zawart</w:t>
            </w:r>
            <w:r>
              <w:rPr>
                <w:rFonts w:cstheme="minorHAnsi"/>
              </w:rPr>
              <w:t>e w Polityce.</w:t>
            </w:r>
          </w:p>
        </w:tc>
      </w:tr>
    </w:tbl>
    <w:p w14:paraId="6DDE490D" w14:textId="77777777" w:rsidR="007979AE" w:rsidRDefault="007979AE" w:rsidP="00C11AD7">
      <w:pPr>
        <w:spacing w:after="0" w:line="240" w:lineRule="auto"/>
        <w:rPr>
          <w:rFonts w:cstheme="minorHAnsi"/>
        </w:rPr>
      </w:pPr>
    </w:p>
    <w:sectPr w:rsidR="007979AE" w:rsidSect="00706B73">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7B79" w14:textId="77777777" w:rsidR="000F3F56" w:rsidRDefault="000F3F56" w:rsidP="003F5591">
      <w:pPr>
        <w:spacing w:after="0" w:line="240" w:lineRule="auto"/>
      </w:pPr>
      <w:r>
        <w:separator/>
      </w:r>
    </w:p>
  </w:endnote>
  <w:endnote w:type="continuationSeparator" w:id="0">
    <w:p w14:paraId="00024E31" w14:textId="77777777" w:rsidR="000F3F56" w:rsidRDefault="000F3F56" w:rsidP="003F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305835"/>
      <w:docPartObj>
        <w:docPartGallery w:val="Page Numbers (Bottom of Page)"/>
        <w:docPartUnique/>
      </w:docPartObj>
    </w:sdtPr>
    <w:sdtEndPr/>
    <w:sdtContent>
      <w:p w14:paraId="36FCCF0C" w14:textId="48E8E82B" w:rsidR="001A5158" w:rsidRDefault="001A5158">
        <w:pPr>
          <w:pStyle w:val="Stopka"/>
          <w:jc w:val="right"/>
        </w:pPr>
        <w:r>
          <w:fldChar w:fldCharType="begin"/>
        </w:r>
        <w:r>
          <w:instrText>PAGE   \* MERGEFORMAT</w:instrText>
        </w:r>
        <w:r>
          <w:fldChar w:fldCharType="separate"/>
        </w:r>
        <w:r>
          <w:t>2</w:t>
        </w:r>
        <w:r>
          <w:fldChar w:fldCharType="end"/>
        </w:r>
      </w:p>
    </w:sdtContent>
  </w:sdt>
  <w:p w14:paraId="52564F20" w14:textId="77777777" w:rsidR="001A5158" w:rsidRDefault="001A51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4FEEE" w14:textId="77777777" w:rsidR="000F3F56" w:rsidRDefault="000F3F56" w:rsidP="003F5591">
      <w:pPr>
        <w:spacing w:after="0" w:line="240" w:lineRule="auto"/>
      </w:pPr>
      <w:r>
        <w:separator/>
      </w:r>
    </w:p>
  </w:footnote>
  <w:footnote w:type="continuationSeparator" w:id="0">
    <w:p w14:paraId="66F18DE2" w14:textId="77777777" w:rsidR="000F3F56" w:rsidRDefault="000F3F56" w:rsidP="003F5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BFB"/>
    <w:multiLevelType w:val="hybridMultilevel"/>
    <w:tmpl w:val="494A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780A39"/>
    <w:multiLevelType w:val="hybridMultilevel"/>
    <w:tmpl w:val="A0A0A7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C92BFD"/>
    <w:multiLevelType w:val="hybridMultilevel"/>
    <w:tmpl w:val="919A63A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E2D633A"/>
    <w:multiLevelType w:val="multilevel"/>
    <w:tmpl w:val="3F8C64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E4418DB"/>
    <w:multiLevelType w:val="hybridMultilevel"/>
    <w:tmpl w:val="0F44F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4532416"/>
    <w:multiLevelType w:val="hybridMultilevel"/>
    <w:tmpl w:val="2C8A3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672187"/>
    <w:multiLevelType w:val="hybridMultilevel"/>
    <w:tmpl w:val="E25C734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6DE0071"/>
    <w:multiLevelType w:val="hybridMultilevel"/>
    <w:tmpl w:val="9758A8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7D739FD"/>
    <w:multiLevelType w:val="multilevel"/>
    <w:tmpl w:val="E28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496704"/>
    <w:multiLevelType w:val="hybridMultilevel"/>
    <w:tmpl w:val="9412E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C8B476D"/>
    <w:multiLevelType w:val="hybridMultilevel"/>
    <w:tmpl w:val="C4F6C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2E4867"/>
    <w:multiLevelType w:val="hybridMultilevel"/>
    <w:tmpl w:val="B448CF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737F9B"/>
    <w:multiLevelType w:val="multilevel"/>
    <w:tmpl w:val="3F8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A06DA3"/>
    <w:multiLevelType w:val="hybridMultilevel"/>
    <w:tmpl w:val="C0AE701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9985B52"/>
    <w:multiLevelType w:val="multilevel"/>
    <w:tmpl w:val="3F8C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2A4131"/>
    <w:multiLevelType w:val="hybridMultilevel"/>
    <w:tmpl w:val="5A98F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5AA64CA"/>
    <w:multiLevelType w:val="hybridMultilevel"/>
    <w:tmpl w:val="DEF269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0DF63E4"/>
    <w:multiLevelType w:val="hybridMultilevel"/>
    <w:tmpl w:val="DB3E72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4360394"/>
    <w:multiLevelType w:val="hybridMultilevel"/>
    <w:tmpl w:val="D8BE7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0"/>
  </w:num>
  <w:num w:numId="4">
    <w:abstractNumId w:val="4"/>
  </w:num>
  <w:num w:numId="5">
    <w:abstractNumId w:val="1"/>
  </w:num>
  <w:num w:numId="6">
    <w:abstractNumId w:val="18"/>
  </w:num>
  <w:num w:numId="7">
    <w:abstractNumId w:val="14"/>
  </w:num>
  <w:num w:numId="8">
    <w:abstractNumId w:val="3"/>
  </w:num>
  <w:num w:numId="9">
    <w:abstractNumId w:val="12"/>
  </w:num>
  <w:num w:numId="10">
    <w:abstractNumId w:val="16"/>
  </w:num>
  <w:num w:numId="11">
    <w:abstractNumId w:val="8"/>
  </w:num>
  <w:num w:numId="12">
    <w:abstractNumId w:val="15"/>
  </w:num>
  <w:num w:numId="13">
    <w:abstractNumId w:val="11"/>
  </w:num>
  <w:num w:numId="14">
    <w:abstractNumId w:val="6"/>
  </w:num>
  <w:num w:numId="15">
    <w:abstractNumId w:val="13"/>
  </w:num>
  <w:num w:numId="16">
    <w:abstractNumId w:val="17"/>
  </w:num>
  <w:num w:numId="17">
    <w:abstractNumId w:val="9"/>
  </w:num>
  <w:num w:numId="18">
    <w:abstractNumId w:val="5"/>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B73"/>
    <w:rsid w:val="00006307"/>
    <w:rsid w:val="00007520"/>
    <w:rsid w:val="00036CBD"/>
    <w:rsid w:val="00036D8A"/>
    <w:rsid w:val="00037236"/>
    <w:rsid w:val="0004176A"/>
    <w:rsid w:val="00054BBF"/>
    <w:rsid w:val="00077543"/>
    <w:rsid w:val="000A0971"/>
    <w:rsid w:val="000E1599"/>
    <w:rsid w:val="000E5568"/>
    <w:rsid w:val="000E78E4"/>
    <w:rsid w:val="000F3F56"/>
    <w:rsid w:val="001065E6"/>
    <w:rsid w:val="00117145"/>
    <w:rsid w:val="00125338"/>
    <w:rsid w:val="001406A0"/>
    <w:rsid w:val="001544AC"/>
    <w:rsid w:val="00154FB4"/>
    <w:rsid w:val="00164D98"/>
    <w:rsid w:val="001A5158"/>
    <w:rsid w:val="001B2FBC"/>
    <w:rsid w:val="001B5199"/>
    <w:rsid w:val="001C5A38"/>
    <w:rsid w:val="001C5D02"/>
    <w:rsid w:val="001D1B32"/>
    <w:rsid w:val="001E413D"/>
    <w:rsid w:val="001F78B6"/>
    <w:rsid w:val="00215DFB"/>
    <w:rsid w:val="00235337"/>
    <w:rsid w:val="00253E45"/>
    <w:rsid w:val="00287A1D"/>
    <w:rsid w:val="00292E93"/>
    <w:rsid w:val="00294C04"/>
    <w:rsid w:val="002A0557"/>
    <w:rsid w:val="002A151F"/>
    <w:rsid w:val="002B4D37"/>
    <w:rsid w:val="002B5F49"/>
    <w:rsid w:val="002C597B"/>
    <w:rsid w:val="002C7DED"/>
    <w:rsid w:val="002E1283"/>
    <w:rsid w:val="00312EC9"/>
    <w:rsid w:val="0033085D"/>
    <w:rsid w:val="003323EE"/>
    <w:rsid w:val="00332676"/>
    <w:rsid w:val="003525EF"/>
    <w:rsid w:val="00362D50"/>
    <w:rsid w:val="00376D29"/>
    <w:rsid w:val="003770A3"/>
    <w:rsid w:val="003B01C3"/>
    <w:rsid w:val="003E4A66"/>
    <w:rsid w:val="003E6467"/>
    <w:rsid w:val="003F5591"/>
    <w:rsid w:val="00405720"/>
    <w:rsid w:val="00414C13"/>
    <w:rsid w:val="0041648F"/>
    <w:rsid w:val="004450DD"/>
    <w:rsid w:val="00452C27"/>
    <w:rsid w:val="00476F56"/>
    <w:rsid w:val="00480345"/>
    <w:rsid w:val="0049674F"/>
    <w:rsid w:val="004B5B67"/>
    <w:rsid w:val="004E21FE"/>
    <w:rsid w:val="004F29DA"/>
    <w:rsid w:val="004F3D3F"/>
    <w:rsid w:val="004F56BE"/>
    <w:rsid w:val="004F5E85"/>
    <w:rsid w:val="004F6B63"/>
    <w:rsid w:val="00500758"/>
    <w:rsid w:val="00500B0A"/>
    <w:rsid w:val="00522ADE"/>
    <w:rsid w:val="0053634A"/>
    <w:rsid w:val="005372D0"/>
    <w:rsid w:val="00543266"/>
    <w:rsid w:val="0055504B"/>
    <w:rsid w:val="0055687D"/>
    <w:rsid w:val="005713F3"/>
    <w:rsid w:val="005762A8"/>
    <w:rsid w:val="005774AD"/>
    <w:rsid w:val="0058606D"/>
    <w:rsid w:val="005904CD"/>
    <w:rsid w:val="005B6080"/>
    <w:rsid w:val="005D181F"/>
    <w:rsid w:val="005E70BF"/>
    <w:rsid w:val="005F28B5"/>
    <w:rsid w:val="00636C8D"/>
    <w:rsid w:val="00660366"/>
    <w:rsid w:val="0068524E"/>
    <w:rsid w:val="00685BA9"/>
    <w:rsid w:val="00687DCE"/>
    <w:rsid w:val="006B1856"/>
    <w:rsid w:val="006C3A0C"/>
    <w:rsid w:val="006E0F1F"/>
    <w:rsid w:val="00706B73"/>
    <w:rsid w:val="00710404"/>
    <w:rsid w:val="007105B8"/>
    <w:rsid w:val="00717054"/>
    <w:rsid w:val="00730717"/>
    <w:rsid w:val="0074258C"/>
    <w:rsid w:val="00746CBA"/>
    <w:rsid w:val="0077180F"/>
    <w:rsid w:val="007823FC"/>
    <w:rsid w:val="007875E5"/>
    <w:rsid w:val="00794817"/>
    <w:rsid w:val="007979AE"/>
    <w:rsid w:val="007B799B"/>
    <w:rsid w:val="007E6DA0"/>
    <w:rsid w:val="007F2FC2"/>
    <w:rsid w:val="00800B7B"/>
    <w:rsid w:val="008053D0"/>
    <w:rsid w:val="00816571"/>
    <w:rsid w:val="0081782A"/>
    <w:rsid w:val="008515D6"/>
    <w:rsid w:val="00893BFA"/>
    <w:rsid w:val="008B5EDC"/>
    <w:rsid w:val="008E0B16"/>
    <w:rsid w:val="008E5787"/>
    <w:rsid w:val="008E5CE2"/>
    <w:rsid w:val="008F09B4"/>
    <w:rsid w:val="0090178B"/>
    <w:rsid w:val="00907375"/>
    <w:rsid w:val="00907F02"/>
    <w:rsid w:val="00913BB8"/>
    <w:rsid w:val="009140C8"/>
    <w:rsid w:val="009268A7"/>
    <w:rsid w:val="00936637"/>
    <w:rsid w:val="00943592"/>
    <w:rsid w:val="00945C7A"/>
    <w:rsid w:val="00954305"/>
    <w:rsid w:val="00961F77"/>
    <w:rsid w:val="00981020"/>
    <w:rsid w:val="009831A7"/>
    <w:rsid w:val="009838D2"/>
    <w:rsid w:val="00985205"/>
    <w:rsid w:val="0099407B"/>
    <w:rsid w:val="009B7728"/>
    <w:rsid w:val="009C3D8C"/>
    <w:rsid w:val="009C4D09"/>
    <w:rsid w:val="009E70DA"/>
    <w:rsid w:val="009E7C32"/>
    <w:rsid w:val="00A04DFE"/>
    <w:rsid w:val="00A1772A"/>
    <w:rsid w:val="00A26002"/>
    <w:rsid w:val="00A6718E"/>
    <w:rsid w:val="00A87ADF"/>
    <w:rsid w:val="00AA3B8D"/>
    <w:rsid w:val="00AB58EF"/>
    <w:rsid w:val="00AE2852"/>
    <w:rsid w:val="00AE30D3"/>
    <w:rsid w:val="00B269D8"/>
    <w:rsid w:val="00B3397C"/>
    <w:rsid w:val="00B36852"/>
    <w:rsid w:val="00B52728"/>
    <w:rsid w:val="00B709E9"/>
    <w:rsid w:val="00B80259"/>
    <w:rsid w:val="00B85C75"/>
    <w:rsid w:val="00BB33C4"/>
    <w:rsid w:val="00BC1555"/>
    <w:rsid w:val="00BD2897"/>
    <w:rsid w:val="00BD47E7"/>
    <w:rsid w:val="00BF7A13"/>
    <w:rsid w:val="00C11AD7"/>
    <w:rsid w:val="00C211B3"/>
    <w:rsid w:val="00C241C7"/>
    <w:rsid w:val="00C42603"/>
    <w:rsid w:val="00C43D19"/>
    <w:rsid w:val="00C66B5E"/>
    <w:rsid w:val="00C67964"/>
    <w:rsid w:val="00C72E0C"/>
    <w:rsid w:val="00C744AB"/>
    <w:rsid w:val="00C746D7"/>
    <w:rsid w:val="00CA699B"/>
    <w:rsid w:val="00CB06EF"/>
    <w:rsid w:val="00CC489F"/>
    <w:rsid w:val="00CE5799"/>
    <w:rsid w:val="00D0059B"/>
    <w:rsid w:val="00D238EA"/>
    <w:rsid w:val="00D65B36"/>
    <w:rsid w:val="00D75551"/>
    <w:rsid w:val="00D7769D"/>
    <w:rsid w:val="00D863A4"/>
    <w:rsid w:val="00DA6803"/>
    <w:rsid w:val="00DB37CB"/>
    <w:rsid w:val="00DB46C0"/>
    <w:rsid w:val="00DC00C4"/>
    <w:rsid w:val="00DC4405"/>
    <w:rsid w:val="00DC454A"/>
    <w:rsid w:val="00DE097D"/>
    <w:rsid w:val="00E047B6"/>
    <w:rsid w:val="00E14E15"/>
    <w:rsid w:val="00E221A3"/>
    <w:rsid w:val="00E4277D"/>
    <w:rsid w:val="00E44BA9"/>
    <w:rsid w:val="00E471BB"/>
    <w:rsid w:val="00E47836"/>
    <w:rsid w:val="00E51CA8"/>
    <w:rsid w:val="00E60822"/>
    <w:rsid w:val="00E620E8"/>
    <w:rsid w:val="00E813F4"/>
    <w:rsid w:val="00E87862"/>
    <w:rsid w:val="00E925C4"/>
    <w:rsid w:val="00E9304C"/>
    <w:rsid w:val="00E941E8"/>
    <w:rsid w:val="00EA5386"/>
    <w:rsid w:val="00EE63D6"/>
    <w:rsid w:val="00EE757C"/>
    <w:rsid w:val="00F17381"/>
    <w:rsid w:val="00F52753"/>
    <w:rsid w:val="00F66116"/>
    <w:rsid w:val="00F70942"/>
    <w:rsid w:val="00F77946"/>
    <w:rsid w:val="00FC3ED5"/>
    <w:rsid w:val="00FC4E3B"/>
    <w:rsid w:val="00FF2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90BF"/>
  <w15:docId w15:val="{73659343-3E2E-41E0-A1B2-47E4BEF5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21A3"/>
  </w:style>
  <w:style w:type="paragraph" w:styleId="Nagwek2">
    <w:name w:val="heading 2"/>
    <w:basedOn w:val="Normalny"/>
    <w:link w:val="Nagwek2Znak"/>
    <w:uiPriority w:val="9"/>
    <w:qFormat/>
    <w:rsid w:val="008E5CE2"/>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nhideWhenUsed/>
    <w:qFormat/>
    <w:rsid w:val="008165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06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6B73"/>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53634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3634A"/>
    <w:rPr>
      <w:b/>
      <w:bCs/>
    </w:rPr>
  </w:style>
  <w:style w:type="paragraph" w:styleId="Akapitzlist">
    <w:name w:val="List Paragraph"/>
    <w:aliases w:val="Sl_Akapit z listą,Akapit z listą1,BulletC,Normal,Akapit z listą31,Normalny2,Akapit z listą32,maz_wyliczenie,opis dzialania,K-P_odwolanie,A_wyliczenie,Akapit z listą;1_literowka,Literowanie,1_literowka,1_literowka Znak,Numerowanie,Obiekt"/>
    <w:basedOn w:val="Normalny"/>
    <w:link w:val="AkapitzlistZnak"/>
    <w:uiPriority w:val="34"/>
    <w:qFormat/>
    <w:rsid w:val="001C5D02"/>
    <w:pPr>
      <w:ind w:left="720"/>
      <w:contextualSpacing/>
    </w:pPr>
  </w:style>
  <w:style w:type="character" w:customStyle="1" w:styleId="Nagwek2Znak">
    <w:name w:val="Nagłówek 2 Znak"/>
    <w:basedOn w:val="Domylnaczcionkaakapitu"/>
    <w:link w:val="Nagwek2"/>
    <w:uiPriority w:val="9"/>
    <w:rsid w:val="008E5CE2"/>
    <w:rPr>
      <w:rFonts w:ascii="Times New Roman" w:eastAsia="Times New Roman" w:hAnsi="Times New Roman" w:cs="Times New Roman"/>
      <w:b/>
      <w:bCs/>
      <w:sz w:val="36"/>
      <w:szCs w:val="36"/>
      <w:lang w:eastAsia="pl-PL"/>
    </w:rPr>
  </w:style>
  <w:style w:type="character" w:customStyle="1" w:styleId="AkapitzlistZnak">
    <w:name w:val="Akapit z listą Znak"/>
    <w:aliases w:val="Sl_Akapit z listą Znak,Akapit z listą1 Znak,BulletC Znak,Normal Znak,Akapit z listą31 Znak,Normalny2 Znak,Akapit z listą32 Znak,maz_wyliczenie Znak,opis dzialania Znak,K-P_odwolanie Znak,A_wyliczenie Znak,Literowanie Znak,Obiekt Znak"/>
    <w:link w:val="Akapitzlist"/>
    <w:uiPriority w:val="34"/>
    <w:qFormat/>
    <w:locked/>
    <w:rsid w:val="001E413D"/>
  </w:style>
  <w:style w:type="paragraph" w:styleId="Tekstprzypisudolnego">
    <w:name w:val="footnote text"/>
    <w:basedOn w:val="Normalny"/>
    <w:link w:val="TekstprzypisudolnegoZnak"/>
    <w:uiPriority w:val="99"/>
    <w:semiHidden/>
    <w:unhideWhenUsed/>
    <w:rsid w:val="003F55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F5591"/>
    <w:rPr>
      <w:sz w:val="20"/>
      <w:szCs w:val="20"/>
    </w:rPr>
  </w:style>
  <w:style w:type="character" w:styleId="Odwoanieprzypisudolnego">
    <w:name w:val="footnote reference"/>
    <w:basedOn w:val="Domylnaczcionkaakapitu"/>
    <w:uiPriority w:val="99"/>
    <w:semiHidden/>
    <w:unhideWhenUsed/>
    <w:rsid w:val="003F5591"/>
    <w:rPr>
      <w:vertAlign w:val="superscript"/>
    </w:rPr>
  </w:style>
  <w:style w:type="character" w:styleId="Uwydatnienie">
    <w:name w:val="Emphasis"/>
    <w:basedOn w:val="Domylnaczcionkaakapitu"/>
    <w:uiPriority w:val="20"/>
    <w:qFormat/>
    <w:rsid w:val="00154FB4"/>
    <w:rPr>
      <w:i/>
      <w:iCs/>
    </w:rPr>
  </w:style>
  <w:style w:type="paragraph" w:styleId="Poprawka">
    <w:name w:val="Revision"/>
    <w:hidden/>
    <w:uiPriority w:val="99"/>
    <w:semiHidden/>
    <w:rsid w:val="00253E45"/>
    <w:pPr>
      <w:spacing w:after="0" w:line="240" w:lineRule="auto"/>
    </w:pPr>
  </w:style>
  <w:style w:type="paragraph" w:styleId="Tekstdymka">
    <w:name w:val="Balloon Text"/>
    <w:basedOn w:val="Normalny"/>
    <w:link w:val="TekstdymkaZnak"/>
    <w:uiPriority w:val="99"/>
    <w:semiHidden/>
    <w:unhideWhenUsed/>
    <w:rsid w:val="00F661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6116"/>
    <w:rPr>
      <w:rFonts w:ascii="Tahoma" w:hAnsi="Tahoma" w:cs="Tahoma"/>
      <w:sz w:val="16"/>
      <w:szCs w:val="16"/>
    </w:rPr>
  </w:style>
  <w:style w:type="character" w:customStyle="1" w:styleId="Teksttreci2">
    <w:name w:val="Tekst treści (2)_"/>
    <w:basedOn w:val="Domylnaczcionkaakapitu"/>
    <w:link w:val="Teksttreci20"/>
    <w:rsid w:val="009268A7"/>
    <w:rPr>
      <w:rFonts w:cs="Calibri"/>
      <w:shd w:val="clear" w:color="auto" w:fill="FFFFFF"/>
    </w:rPr>
  </w:style>
  <w:style w:type="paragraph" w:customStyle="1" w:styleId="Teksttreci20">
    <w:name w:val="Tekst treści (2)"/>
    <w:basedOn w:val="Normalny"/>
    <w:link w:val="Teksttreci2"/>
    <w:rsid w:val="009268A7"/>
    <w:pPr>
      <w:widowControl w:val="0"/>
      <w:shd w:val="clear" w:color="auto" w:fill="FFFFFF"/>
      <w:spacing w:before="180" w:after="60" w:line="269" w:lineRule="exact"/>
      <w:ind w:hanging="380"/>
      <w:jc w:val="both"/>
    </w:pPr>
    <w:rPr>
      <w:rFonts w:cs="Calibri"/>
    </w:rPr>
  </w:style>
  <w:style w:type="character" w:styleId="Odwoaniedokomentarza">
    <w:name w:val="annotation reference"/>
    <w:basedOn w:val="Domylnaczcionkaakapitu"/>
    <w:uiPriority w:val="99"/>
    <w:semiHidden/>
    <w:unhideWhenUsed/>
    <w:rsid w:val="00F52753"/>
    <w:rPr>
      <w:sz w:val="16"/>
      <w:szCs w:val="16"/>
    </w:rPr>
  </w:style>
  <w:style w:type="paragraph" w:styleId="Tekstkomentarza">
    <w:name w:val="annotation text"/>
    <w:basedOn w:val="Normalny"/>
    <w:link w:val="TekstkomentarzaZnak"/>
    <w:uiPriority w:val="99"/>
    <w:unhideWhenUsed/>
    <w:rsid w:val="00F52753"/>
    <w:pPr>
      <w:spacing w:line="240" w:lineRule="auto"/>
    </w:pPr>
    <w:rPr>
      <w:sz w:val="20"/>
      <w:szCs w:val="20"/>
    </w:rPr>
  </w:style>
  <w:style w:type="character" w:customStyle="1" w:styleId="TekstkomentarzaZnak">
    <w:name w:val="Tekst komentarza Znak"/>
    <w:basedOn w:val="Domylnaczcionkaakapitu"/>
    <w:link w:val="Tekstkomentarza"/>
    <w:uiPriority w:val="99"/>
    <w:rsid w:val="00F52753"/>
    <w:rPr>
      <w:sz w:val="20"/>
      <w:szCs w:val="20"/>
    </w:rPr>
  </w:style>
  <w:style w:type="character" w:customStyle="1" w:styleId="Nagwek3Znak">
    <w:name w:val="Nagłówek 3 Znak"/>
    <w:basedOn w:val="Domylnaczcionkaakapitu"/>
    <w:link w:val="Nagwek3"/>
    <w:rsid w:val="00816571"/>
    <w:rPr>
      <w:rFonts w:asciiTheme="majorHAnsi" w:eastAsiaTheme="majorEastAsia" w:hAnsiTheme="majorHAnsi" w:cstheme="majorBidi"/>
      <w:color w:val="1F3763" w:themeColor="accent1" w:themeShade="7F"/>
      <w:sz w:val="24"/>
      <w:szCs w:val="24"/>
    </w:rPr>
  </w:style>
  <w:style w:type="paragraph" w:customStyle="1" w:styleId="WyrnienieII">
    <w:name w:val="Wyróżnienie II"/>
    <w:basedOn w:val="Normalny"/>
    <w:link w:val="WyrnienieIIZnak"/>
    <w:autoRedefine/>
    <w:qFormat/>
    <w:rsid w:val="00DB46C0"/>
    <w:pPr>
      <w:shd w:val="clear" w:color="auto" w:fill="007635"/>
      <w:spacing w:before="120" w:after="120" w:line="360" w:lineRule="auto"/>
    </w:pPr>
    <w:rPr>
      <w:rFonts w:ascii="Arial" w:hAnsi="Arial" w:cs="Arial"/>
      <w:b/>
      <w:i/>
      <w:color w:val="FFFFFF" w:themeColor="background1"/>
      <w:sz w:val="24"/>
    </w:rPr>
  </w:style>
  <w:style w:type="character" w:customStyle="1" w:styleId="WyrnienieIIZnak">
    <w:name w:val="Wyróżnienie II Znak"/>
    <w:basedOn w:val="Domylnaczcionkaakapitu"/>
    <w:link w:val="WyrnienieII"/>
    <w:rsid w:val="00DB46C0"/>
    <w:rPr>
      <w:rFonts w:ascii="Arial" w:hAnsi="Arial" w:cs="Arial"/>
      <w:b/>
      <w:i/>
      <w:color w:val="FFFFFF" w:themeColor="background1"/>
      <w:sz w:val="24"/>
      <w:shd w:val="clear" w:color="auto" w:fill="007635"/>
    </w:rPr>
  </w:style>
  <w:style w:type="paragraph" w:styleId="Nagwek">
    <w:name w:val="header"/>
    <w:basedOn w:val="Normalny"/>
    <w:link w:val="NagwekZnak"/>
    <w:uiPriority w:val="99"/>
    <w:unhideWhenUsed/>
    <w:rsid w:val="001A51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5158"/>
  </w:style>
  <w:style w:type="paragraph" w:styleId="Stopka">
    <w:name w:val="footer"/>
    <w:basedOn w:val="Normalny"/>
    <w:link w:val="StopkaZnak"/>
    <w:uiPriority w:val="99"/>
    <w:unhideWhenUsed/>
    <w:rsid w:val="001A51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27189">
      <w:bodyDiv w:val="1"/>
      <w:marLeft w:val="0"/>
      <w:marRight w:val="0"/>
      <w:marTop w:val="0"/>
      <w:marBottom w:val="0"/>
      <w:divBdr>
        <w:top w:val="none" w:sz="0" w:space="0" w:color="auto"/>
        <w:left w:val="none" w:sz="0" w:space="0" w:color="auto"/>
        <w:bottom w:val="none" w:sz="0" w:space="0" w:color="auto"/>
        <w:right w:val="none" w:sz="0" w:space="0" w:color="auto"/>
      </w:divBdr>
    </w:div>
    <w:div w:id="1295984127">
      <w:bodyDiv w:val="1"/>
      <w:marLeft w:val="0"/>
      <w:marRight w:val="0"/>
      <w:marTop w:val="0"/>
      <w:marBottom w:val="0"/>
      <w:divBdr>
        <w:top w:val="none" w:sz="0" w:space="0" w:color="auto"/>
        <w:left w:val="none" w:sz="0" w:space="0" w:color="auto"/>
        <w:bottom w:val="none" w:sz="0" w:space="0" w:color="auto"/>
        <w:right w:val="none" w:sz="0" w:space="0" w:color="auto"/>
      </w:divBdr>
    </w:div>
    <w:div w:id="1305234531">
      <w:bodyDiv w:val="1"/>
      <w:marLeft w:val="0"/>
      <w:marRight w:val="0"/>
      <w:marTop w:val="0"/>
      <w:marBottom w:val="0"/>
      <w:divBdr>
        <w:top w:val="none" w:sz="0" w:space="0" w:color="auto"/>
        <w:left w:val="none" w:sz="0" w:space="0" w:color="auto"/>
        <w:bottom w:val="none" w:sz="0" w:space="0" w:color="auto"/>
        <w:right w:val="none" w:sz="0" w:space="0" w:color="auto"/>
      </w:divBdr>
    </w:div>
    <w:div w:id="1565484133">
      <w:bodyDiv w:val="1"/>
      <w:marLeft w:val="0"/>
      <w:marRight w:val="0"/>
      <w:marTop w:val="0"/>
      <w:marBottom w:val="0"/>
      <w:divBdr>
        <w:top w:val="none" w:sz="0" w:space="0" w:color="auto"/>
        <w:left w:val="none" w:sz="0" w:space="0" w:color="auto"/>
        <w:bottom w:val="none" w:sz="0" w:space="0" w:color="auto"/>
        <w:right w:val="none" w:sz="0" w:space="0" w:color="auto"/>
      </w:divBdr>
    </w:div>
    <w:div w:id="1958952261">
      <w:bodyDiv w:val="1"/>
      <w:marLeft w:val="0"/>
      <w:marRight w:val="0"/>
      <w:marTop w:val="0"/>
      <w:marBottom w:val="0"/>
      <w:divBdr>
        <w:top w:val="none" w:sz="0" w:space="0" w:color="auto"/>
        <w:left w:val="none" w:sz="0" w:space="0" w:color="auto"/>
        <w:bottom w:val="none" w:sz="0" w:space="0" w:color="auto"/>
        <w:right w:val="none" w:sz="0" w:space="0" w:color="auto"/>
      </w:divBdr>
    </w:div>
    <w:div w:id="2031759191">
      <w:bodyDiv w:val="1"/>
      <w:marLeft w:val="0"/>
      <w:marRight w:val="0"/>
      <w:marTop w:val="0"/>
      <w:marBottom w:val="0"/>
      <w:divBdr>
        <w:top w:val="none" w:sz="0" w:space="0" w:color="auto"/>
        <w:left w:val="none" w:sz="0" w:space="0" w:color="auto"/>
        <w:bottom w:val="none" w:sz="0" w:space="0" w:color="auto"/>
        <w:right w:val="none" w:sz="0" w:space="0" w:color="auto"/>
      </w:divBdr>
    </w:div>
    <w:div w:id="206617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6155</Words>
  <Characters>36932</Characters>
  <Application>Microsoft Office Word</Application>
  <DocSecurity>0</DocSecurity>
  <Lines>307</Lines>
  <Paragraphs>86</Paragraphs>
  <ScaleCrop>false</ScaleCrop>
  <HeadingPairs>
    <vt:vector size="2" baseType="variant">
      <vt:variant>
        <vt:lpstr>Tytuł</vt:lpstr>
      </vt:variant>
      <vt:variant>
        <vt:i4>1</vt:i4>
      </vt:variant>
    </vt:vector>
  </HeadingPairs>
  <TitlesOfParts>
    <vt:vector size="1" baseType="lpstr">
      <vt:lpstr>Załącznik nr 1. Analiza dokumentów</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Analiza dokumentów</dc:title>
  <dc:creator>„Pectore – Eco” Sp. z o.o.</dc:creator>
  <cp:lastModifiedBy>Zarzyczny Agnieszka</cp:lastModifiedBy>
  <cp:revision>7</cp:revision>
  <dcterms:created xsi:type="dcterms:W3CDTF">2024-10-21T11:33:00Z</dcterms:created>
  <dcterms:modified xsi:type="dcterms:W3CDTF">2024-10-22T07:26:00Z</dcterms:modified>
</cp:coreProperties>
</file>